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36497">
      <w:pPr>
        <w:pStyle w:val="14"/>
        <w:widowControl/>
        <w:numPr>
          <w:ilvl w:val="0"/>
          <w:numId w:val="1"/>
        </w:numPr>
        <w:spacing w:line="360" w:lineRule="auto"/>
        <w:jc w:val="left"/>
        <w:rPr>
          <w:rFonts w:hint="eastAsia" w:ascii="仿宋_GB2312" w:hAnsi="仿宋_GB2312" w:eastAsia="仿宋_GB2312" w:cs="仿宋_GB2312"/>
          <w:b/>
          <w:color w:val="000000" w:themeColor="text1"/>
          <w:kern w:val="0"/>
          <w:sz w:val="28"/>
          <w:szCs w:val="28"/>
          <w14:textFill>
            <w14:solidFill>
              <w14:schemeClr w14:val="tx1"/>
            </w14:solidFill>
          </w14:textFill>
        </w:rPr>
      </w:pPr>
      <w:r>
        <w:rPr>
          <w:rFonts w:hint="eastAsia" w:ascii="仿宋_GB2312" w:hAnsi="仿宋_GB2312" w:eastAsia="仿宋_GB2312" w:cs="仿宋_GB2312"/>
          <w:b/>
          <w:color w:val="000000" w:themeColor="text1"/>
          <w:kern w:val="0"/>
          <w:sz w:val="28"/>
          <w:szCs w:val="28"/>
          <w14:textFill>
            <w14:solidFill>
              <w14:schemeClr w14:val="tx1"/>
            </w14:solidFill>
          </w14:textFill>
        </w:rPr>
        <w:t>项目基本情况</w:t>
      </w:r>
    </w:p>
    <w:p w14:paraId="4CD30FF0">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项目名称</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改扩建工程IT基础设施建设项目</w:t>
      </w:r>
      <w:r>
        <w:rPr>
          <w:rFonts w:hint="eastAsia" w:ascii="仿宋_GB2312" w:hAnsi="仿宋_GB2312" w:eastAsia="仿宋_GB2312" w:cs="仿宋_GB2312"/>
          <w:kern w:val="0"/>
          <w:sz w:val="28"/>
          <w:szCs w:val="28"/>
        </w:rPr>
        <w:t>商用密码应用安全性评估服务</w:t>
      </w:r>
    </w:p>
    <w:p w14:paraId="57399181">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项目预算</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8.00万元</w:t>
      </w:r>
    </w:p>
    <w:p w14:paraId="7BD0F4E7">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w:t>
      </w:r>
      <w:r>
        <w:rPr>
          <w:rFonts w:hint="eastAsia" w:ascii="仿宋_GB2312" w:hAnsi="仿宋_GB2312" w:eastAsia="仿宋_GB2312" w:cs="仿宋_GB2312"/>
          <w:kern w:val="0"/>
          <w:sz w:val="28"/>
          <w:szCs w:val="28"/>
          <w:lang w:val="en-US" w:eastAsia="zh-CN"/>
        </w:rPr>
        <w:t>报价类型</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总价</w:t>
      </w:r>
    </w:p>
    <w:p w14:paraId="067F98FA">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资金来源:政府预算资金</w:t>
      </w:r>
    </w:p>
    <w:p w14:paraId="3E2419D3">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采购类别：服务</w:t>
      </w:r>
    </w:p>
    <w:p w14:paraId="2FE60DE5">
      <w:pPr>
        <w:pStyle w:val="14"/>
        <w:widowControl/>
        <w:numPr>
          <w:ilvl w:val="0"/>
          <w:numId w:val="1"/>
        </w:numPr>
        <w:spacing w:line="360" w:lineRule="auto"/>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b/>
          <w:color w:val="000000" w:themeColor="text1"/>
          <w:kern w:val="0"/>
          <w:sz w:val="28"/>
          <w:szCs w:val="28"/>
          <w:lang w:val="en-US" w:eastAsia="zh-CN"/>
          <w14:textFill>
            <w14:solidFill>
              <w14:schemeClr w14:val="tx1"/>
            </w14:solidFill>
          </w14:textFill>
        </w:rPr>
        <w:t>项目</w:t>
      </w:r>
      <w:r>
        <w:rPr>
          <w:rFonts w:hint="eastAsia" w:ascii="仿宋_GB2312" w:hAnsi="仿宋_GB2312" w:eastAsia="仿宋_GB2312" w:cs="仿宋_GB2312"/>
          <w:b/>
          <w:color w:val="000000" w:themeColor="text1"/>
          <w:kern w:val="0"/>
          <w:sz w:val="28"/>
          <w:szCs w:val="28"/>
          <w14:textFill>
            <w14:solidFill>
              <w14:schemeClr w14:val="tx1"/>
            </w14:solidFill>
          </w14:textFill>
        </w:rPr>
        <w:t>采购需求</w:t>
      </w:r>
      <w:r>
        <w:rPr>
          <w:rFonts w:hint="eastAsia" w:ascii="仿宋_GB2312" w:hAnsi="仿宋_GB2312" w:eastAsia="仿宋_GB2312" w:cs="仿宋_GB2312"/>
          <w:b/>
          <w:color w:val="000000" w:themeColor="text1"/>
          <w:kern w:val="0"/>
          <w:sz w:val="28"/>
          <w:szCs w:val="28"/>
          <w:lang w:eastAsia="zh-CN"/>
          <w14:textFill>
            <w14:solidFill>
              <w14:schemeClr w14:val="tx1"/>
            </w14:solidFill>
          </w14:textFill>
        </w:rPr>
        <w:t>：</w:t>
      </w:r>
    </w:p>
    <w:p w14:paraId="219758D0">
      <w:pPr>
        <w:pStyle w:val="14"/>
        <w:widowControl/>
        <w:numPr>
          <w:ilvl w:val="-1"/>
          <w:numId w:val="0"/>
        </w:numPr>
        <w:spacing w:line="360" w:lineRule="auto"/>
        <w:ind w:left="0" w:leftChars="0" w:firstLine="0" w:firstLineChars="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）采</w:t>
      </w:r>
      <w:r>
        <w:rPr>
          <w:rFonts w:hint="eastAsia" w:ascii="仿宋_GB2312" w:hAnsi="仿宋_GB2312" w:eastAsia="仿宋_GB2312" w:cs="仿宋_GB2312"/>
          <w:sz w:val="32"/>
          <w:szCs w:val="32"/>
        </w:rPr>
        <w:t>购项目需实现的功能和目标：</w:t>
      </w:r>
      <w:r>
        <w:rPr>
          <w:rFonts w:hint="eastAsia" w:ascii="仿宋_GB2312" w:hAnsi="仿宋_GB2312" w:eastAsia="仿宋_GB2312" w:cs="仿宋_GB2312"/>
          <w:kern w:val="0"/>
          <w:sz w:val="32"/>
          <w:szCs w:val="32"/>
          <w:lang w:eastAsia="zh-CN"/>
        </w:rPr>
        <w:t>深圳市前海蛇口自贸区医院改扩建工程</w:t>
      </w:r>
      <w:r>
        <w:rPr>
          <w:rFonts w:hint="eastAsia" w:ascii="仿宋_GB2312" w:hAnsi="仿宋_GB2312" w:eastAsia="仿宋_GB2312" w:cs="仿宋_GB2312"/>
          <w:kern w:val="0"/>
          <w:sz w:val="32"/>
          <w:szCs w:val="32"/>
          <w:lang w:val="en-US" w:eastAsia="zh-CN"/>
        </w:rPr>
        <w:t>I</w:t>
      </w:r>
      <w:r>
        <w:rPr>
          <w:rFonts w:hint="eastAsia" w:ascii="仿宋_GB2312" w:hAnsi="仿宋_GB2312" w:eastAsia="仿宋_GB2312" w:cs="仿宋_GB2312"/>
          <w:kern w:val="0"/>
          <w:sz w:val="32"/>
          <w:szCs w:val="32"/>
          <w:lang w:eastAsia="zh-CN"/>
        </w:rPr>
        <w:t>T基础设施建设项目包括对前海蛇口自贸区医院1号楼办公网改造，并新建3号楼IT基础设施。主要建设内容有:网络建设(3号楼办公网建设、1号楼办公网改造)、ICT基础设施建设、信息化终端设备建设、信息化系统建设、信息安全系统建设。建设要求项目工程建设费用2971.56万元，工期2025年10月至2027年4月。</w:t>
      </w:r>
    </w:p>
    <w:p w14:paraId="41BF203F">
      <w:pPr>
        <w:pStyle w:val="14"/>
        <w:widowControl/>
        <w:numPr>
          <w:ilvl w:val="-1"/>
          <w:numId w:val="0"/>
        </w:numPr>
        <w:spacing w:line="360" w:lineRule="auto"/>
        <w:ind w:left="0" w:leftChars="0" w:firstLine="640" w:firstLineChars="200"/>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kern w:val="0"/>
          <w:sz w:val="32"/>
          <w:szCs w:val="32"/>
          <w:lang w:val="en-US" w:eastAsia="zh-CN"/>
        </w:rPr>
        <w:t>本次</w:t>
      </w:r>
      <w:r>
        <w:rPr>
          <w:rFonts w:hint="eastAsia" w:ascii="仿宋_GB2312" w:hAnsi="仿宋_GB2312" w:eastAsia="仿宋_GB2312" w:cs="仿宋_GB2312"/>
          <w:kern w:val="0"/>
          <w:sz w:val="32"/>
          <w:szCs w:val="32"/>
          <w:lang w:eastAsia="zh-CN"/>
        </w:rPr>
        <w:t>商用密码应用安全性评估服务</w:t>
      </w:r>
      <w:r>
        <w:rPr>
          <w:rFonts w:hint="eastAsia" w:ascii="仿宋_GB2312" w:hAnsi="仿宋_GB2312" w:eastAsia="仿宋_GB2312" w:cs="仿宋_GB2312"/>
          <w:kern w:val="0"/>
          <w:sz w:val="32"/>
          <w:szCs w:val="32"/>
          <w:lang w:val="en-US" w:eastAsia="zh-CN"/>
        </w:rPr>
        <w:t>结合该项目</w:t>
      </w:r>
      <w:r>
        <w:rPr>
          <w:rFonts w:hint="eastAsia" w:ascii="仿宋_GB2312" w:hAnsi="仿宋_GB2312" w:eastAsia="仿宋_GB2312" w:cs="仿宋_GB2312"/>
          <w:kern w:val="0"/>
          <w:sz w:val="32"/>
          <w:szCs w:val="32"/>
          <w:lang w:eastAsia="zh-CN"/>
        </w:rPr>
        <w:t>信息安全系统建设、</w:t>
      </w:r>
      <w:r>
        <w:rPr>
          <w:rFonts w:hint="eastAsia" w:ascii="仿宋_GB2312" w:hAnsi="仿宋_GB2312" w:eastAsia="仿宋_GB2312" w:cs="仿宋_GB2312"/>
          <w:kern w:val="0"/>
          <w:sz w:val="32"/>
          <w:szCs w:val="32"/>
          <w:lang w:val="en-US" w:eastAsia="zh-CN"/>
        </w:rPr>
        <w:t>商用密码应用方案设计内容，要求在项目交付终验前按</w:t>
      </w:r>
      <w:r>
        <w:rPr>
          <w:rFonts w:hint="eastAsia" w:ascii="仿宋_GB2312" w:hAnsi="仿宋_GB2312" w:eastAsia="仿宋_GB2312" w:cs="仿宋_GB2312"/>
          <w:sz w:val="32"/>
          <w:szCs w:val="32"/>
          <w:u w:val="single"/>
          <w:lang w:val="en-US" w:eastAsia="zh-CN"/>
        </w:rPr>
        <w:t>商用密码应用安全性评估技术要求完成对</w:t>
      </w:r>
      <w:r>
        <w:rPr>
          <w:rFonts w:hint="eastAsia" w:ascii="仿宋_GB2312" w:hAnsi="仿宋_GB2312" w:eastAsia="仿宋_GB2312" w:cs="仿宋_GB2312"/>
          <w:kern w:val="0"/>
          <w:sz w:val="32"/>
          <w:szCs w:val="32"/>
          <w:lang w:eastAsia="zh-CN"/>
        </w:rPr>
        <w:t>互联网医院</w:t>
      </w:r>
      <w:r>
        <w:rPr>
          <w:rFonts w:hint="eastAsia" w:ascii="仿宋_GB2312" w:hAnsi="仿宋_GB2312" w:eastAsia="仿宋_GB2312" w:cs="仿宋_GB2312"/>
          <w:kern w:val="0"/>
          <w:sz w:val="32"/>
          <w:szCs w:val="32"/>
          <w:lang w:val="en-US" w:eastAsia="zh-CN"/>
        </w:rPr>
        <w:t>系统（等级保护三级</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lang w:eastAsia="zh-CN"/>
        </w:rPr>
        <w:t>商用密码应用安全性评估，</w:t>
      </w:r>
      <w:r>
        <w:rPr>
          <w:rFonts w:hint="eastAsia" w:ascii="仿宋_GB2312" w:hAnsi="仿宋_GB2312" w:eastAsia="仿宋_GB2312" w:cs="仿宋_GB2312"/>
          <w:kern w:val="0"/>
          <w:sz w:val="32"/>
          <w:szCs w:val="32"/>
          <w:lang w:val="en-US" w:eastAsia="zh-CN"/>
        </w:rPr>
        <w:t>并按要求</w:t>
      </w:r>
      <w:r>
        <w:rPr>
          <w:rFonts w:hint="eastAsia" w:ascii="仿宋_GB2312" w:hAnsi="仿宋_GB2312" w:eastAsia="仿宋_GB2312" w:cs="仿宋_GB2312"/>
          <w:sz w:val="32"/>
          <w:szCs w:val="32"/>
          <w:u w:val="single"/>
          <w:lang w:val="en-US" w:eastAsia="zh-CN"/>
        </w:rPr>
        <w:t>输出</w:t>
      </w:r>
      <w:r>
        <w:rPr>
          <w:rFonts w:hint="eastAsia" w:ascii="仿宋_GB2312" w:hAnsi="仿宋_GB2312" w:eastAsia="仿宋_GB2312" w:cs="仿宋_GB2312"/>
          <w:color w:val="000000"/>
          <w:kern w:val="0"/>
          <w:sz w:val="32"/>
          <w:szCs w:val="32"/>
          <w:u w:val="single"/>
          <w:lang w:val="en-US" w:eastAsia="zh-CN"/>
        </w:rPr>
        <w:t>评估过程文档、报告、结果等材料</w:t>
      </w:r>
      <w:r>
        <w:rPr>
          <w:rFonts w:hint="eastAsia" w:ascii="仿宋_GB2312" w:hAnsi="仿宋_GB2312" w:eastAsia="仿宋_GB2312" w:cs="仿宋_GB2312"/>
          <w:sz w:val="32"/>
          <w:szCs w:val="32"/>
          <w:u w:val="single"/>
          <w:lang w:val="en-US" w:eastAsia="zh-CN"/>
        </w:rPr>
        <w:t>（如</w:t>
      </w:r>
      <w:r>
        <w:rPr>
          <w:rFonts w:hint="eastAsia" w:ascii="仿宋_GB2312" w:hAnsi="仿宋_GB2312" w:eastAsia="仿宋_GB2312" w:cs="仿宋_GB2312"/>
          <w:color w:val="000000"/>
          <w:kern w:val="0"/>
          <w:sz w:val="32"/>
          <w:szCs w:val="32"/>
          <w:u w:val="single"/>
          <w:lang w:val="en-US" w:eastAsia="zh-CN"/>
        </w:rPr>
        <w:t>《商用密码应用安全性评估报告》、密评结果备案材料接收回执）</w:t>
      </w:r>
      <w:r>
        <w:rPr>
          <w:rFonts w:hint="eastAsia" w:ascii="仿宋_GB2312" w:hAnsi="仿宋_GB2312" w:eastAsia="仿宋_GB2312" w:cs="仿宋_GB2312"/>
          <w:sz w:val="32"/>
          <w:szCs w:val="32"/>
          <w:u w:val="single"/>
          <w:lang w:val="en-US" w:eastAsia="zh-CN"/>
        </w:rPr>
        <w:t xml:space="preserve"> 。</w:t>
      </w:r>
    </w:p>
    <w:p w14:paraId="0CE9E278">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9718617">
      <w:pPr>
        <w:numPr>
          <w:ilvl w:val="0"/>
          <w:numId w:val="3"/>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08926FA8">
      <w:pPr>
        <w:numPr>
          <w:ilvl w:val="0"/>
          <w:numId w:val="4"/>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         □是否仅面向小微企业</w:t>
      </w:r>
    </w:p>
    <w:p w14:paraId="4135C87C">
      <w:pPr>
        <w:numPr>
          <w:ilvl w:val="0"/>
          <w:numId w:val="4"/>
        </w:numPr>
        <w:spacing w:line="360" w:lineRule="auto"/>
        <w:ind w:left="425" w:leftChars="0" w:hanging="425" w:firstLineChars="0"/>
        <w:rPr>
          <w:rFonts w:ascii="仿宋" w:hAnsi="仿宋" w:eastAsia="仿宋"/>
          <w:sz w:val="28"/>
          <w:szCs w:val="28"/>
          <w:u w:val="single"/>
        </w:rPr>
      </w:pP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eastAsia="zh-CN"/>
        </w:rPr>
        <w:t>。</w:t>
      </w:r>
    </w:p>
    <w:p w14:paraId="59EC4E9D">
      <w:pPr>
        <w:numPr>
          <w:ilvl w:val="0"/>
          <w:numId w:val="5"/>
        </w:numP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是否接受</w:t>
      </w:r>
      <w:r>
        <w:rPr>
          <w:rFonts w:hint="eastAsia" w:ascii="仿宋_GB2312" w:hAnsi="仿宋_GB2312" w:eastAsia="仿宋_GB2312" w:cs="仿宋_GB2312"/>
          <w:b/>
          <w:bCs/>
          <w:sz w:val="28"/>
          <w:szCs w:val="28"/>
        </w:rPr>
        <w:t>联合体投标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否</w:t>
      </w:r>
    </w:p>
    <w:p w14:paraId="3240C796">
      <w:pPr>
        <w:spacing w:line="360" w:lineRule="auto"/>
        <w:rPr>
          <w:rFonts w:hint="eastAsia" w:ascii="仿宋_GB2312" w:hAnsi="仿宋_GB2312" w:eastAsia="仿宋_GB2312" w:cs="仿宋_GB2312"/>
          <w:b/>
          <w:bCs/>
          <w:sz w:val="28"/>
          <w:szCs w:val="28"/>
          <w:lang w:eastAsia="zh-CN"/>
        </w:rPr>
      </w:pPr>
      <w:r>
        <w:rPr>
          <w:rFonts w:hint="eastAsia" w:ascii="仿宋" w:hAnsi="仿宋" w:eastAsia="仿宋"/>
          <w:b/>
          <w:bCs/>
          <w:sz w:val="32"/>
          <w:szCs w:val="32"/>
        </w:rPr>
        <w:t>（</w:t>
      </w: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）采购标的汇总表</w:t>
      </w:r>
      <w:r>
        <w:rPr>
          <w:rFonts w:hint="eastAsia" w:ascii="仿宋_GB2312" w:hAnsi="仿宋_GB2312" w:eastAsia="仿宋_GB2312" w:cs="仿宋_GB2312"/>
          <w:b/>
          <w:bCs/>
          <w:sz w:val="28"/>
          <w:szCs w:val="28"/>
          <w:lang w:eastAsia="zh-CN"/>
        </w:rPr>
        <w:t>：</w:t>
      </w:r>
    </w:p>
    <w:tbl>
      <w:tblPr>
        <w:tblStyle w:val="7"/>
        <w:tblW w:w="8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033"/>
        <w:gridCol w:w="850"/>
        <w:gridCol w:w="703"/>
        <w:gridCol w:w="1200"/>
        <w:gridCol w:w="1837"/>
      </w:tblGrid>
      <w:tr w14:paraId="14C5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611" w:type="dxa"/>
            <w:shd w:val="clear" w:color="auto" w:fill="FFFFFF"/>
            <w:tcMar>
              <w:top w:w="0" w:type="dxa"/>
              <w:right w:w="0" w:type="dxa"/>
            </w:tcMar>
            <w:vAlign w:val="center"/>
          </w:tcPr>
          <w:p w14:paraId="512DEF8D">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color w:val="000000" w:themeColor="text1"/>
                <w:kern w:val="0"/>
                <w:sz w:val="28"/>
                <w:szCs w:val="28"/>
                <w14:textFill>
                  <w14:solidFill>
                    <w14:schemeClr w14:val="tx1"/>
                  </w14:solidFill>
                </w14:textFill>
              </w:rPr>
              <w:t>名称</w:t>
            </w:r>
          </w:p>
        </w:tc>
        <w:tc>
          <w:tcPr>
            <w:tcW w:w="2033" w:type="dxa"/>
            <w:shd w:val="clear" w:color="auto" w:fill="FFFFFF"/>
            <w:tcMar>
              <w:top w:w="0" w:type="dxa"/>
              <w:right w:w="0" w:type="dxa"/>
            </w:tcMar>
            <w:vAlign w:val="center"/>
          </w:tcPr>
          <w:p w14:paraId="5C50123F">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品目 （政府采购品目分类目录）</w:t>
            </w:r>
          </w:p>
        </w:tc>
        <w:tc>
          <w:tcPr>
            <w:tcW w:w="850" w:type="dxa"/>
            <w:shd w:val="clear" w:color="auto" w:fill="FFFFFF"/>
            <w:tcMar>
              <w:top w:w="0" w:type="dxa"/>
              <w:right w:w="0" w:type="dxa"/>
            </w:tcMar>
            <w:vAlign w:val="center"/>
          </w:tcPr>
          <w:p w14:paraId="25DCFC91">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计量单位</w:t>
            </w:r>
          </w:p>
        </w:tc>
        <w:tc>
          <w:tcPr>
            <w:tcW w:w="703" w:type="dxa"/>
            <w:shd w:val="clear" w:color="auto" w:fill="FFFFFF"/>
            <w:vAlign w:val="center"/>
          </w:tcPr>
          <w:p w14:paraId="498C30E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数量</w:t>
            </w:r>
          </w:p>
        </w:tc>
        <w:tc>
          <w:tcPr>
            <w:tcW w:w="1200" w:type="dxa"/>
            <w:shd w:val="clear" w:color="auto" w:fill="FFFFFF"/>
            <w:vAlign w:val="center"/>
          </w:tcPr>
          <w:p w14:paraId="2A848B76">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总</w:t>
            </w:r>
            <w:r>
              <w:rPr>
                <w:rFonts w:hint="eastAsia" w:ascii="仿宋_GB2312" w:hAnsi="仿宋_GB2312" w:eastAsia="仿宋_GB2312" w:cs="仿宋_GB2312"/>
                <w:color w:val="000000" w:themeColor="text1"/>
                <w:kern w:val="0"/>
                <w:sz w:val="28"/>
                <w:szCs w:val="28"/>
                <w14:textFill>
                  <w14:solidFill>
                    <w14:schemeClr w14:val="tx1"/>
                  </w14:solidFill>
                </w14:textFill>
              </w:rPr>
              <w:t>预算</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元</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c>
          <w:tcPr>
            <w:tcW w:w="1837" w:type="dxa"/>
            <w:shd w:val="clear" w:color="auto" w:fill="FFFFFF"/>
            <w:tcMar>
              <w:top w:w="0" w:type="dxa"/>
              <w:right w:w="0" w:type="dxa"/>
            </w:tcMar>
            <w:vAlign w:val="center"/>
          </w:tcPr>
          <w:p w14:paraId="310AC80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是否进口</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货物类提供</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r>
      <w:tr w14:paraId="46AA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11" w:type="dxa"/>
            <w:shd w:val="clear" w:color="auto" w:fill="FFFFFF"/>
            <w:tcMar>
              <w:top w:w="0" w:type="dxa"/>
              <w:right w:w="0" w:type="dxa"/>
            </w:tcMar>
            <w:vAlign w:val="center"/>
          </w:tcPr>
          <w:p w14:paraId="516E5DDE">
            <w:pPr>
              <w:autoSpaceDE w:val="0"/>
              <w:autoSpaceDN w:val="0"/>
              <w:adjustRightIn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kern w:val="0"/>
                <w:sz w:val="24"/>
                <w:szCs w:val="24"/>
                <w:lang w:val="en-US" w:eastAsia="zh-CN"/>
              </w:rPr>
              <w:t>改扩建工程IT基础设施建设项目</w:t>
            </w:r>
            <w:r>
              <w:rPr>
                <w:rFonts w:hint="eastAsia" w:ascii="仿宋_GB2312" w:hAnsi="仿宋_GB2312" w:eastAsia="仿宋_GB2312" w:cs="仿宋_GB2312"/>
                <w:kern w:val="0"/>
                <w:sz w:val="24"/>
                <w:szCs w:val="24"/>
              </w:rPr>
              <w:t>商用密码应用安全性评估服务</w:t>
            </w:r>
          </w:p>
        </w:tc>
        <w:tc>
          <w:tcPr>
            <w:tcW w:w="2033" w:type="dxa"/>
            <w:shd w:val="clear" w:color="auto" w:fill="FFFFFF"/>
            <w:tcMar>
              <w:top w:w="0" w:type="dxa"/>
              <w:right w:w="0" w:type="dxa"/>
            </w:tcMar>
            <w:vAlign w:val="center"/>
          </w:tcPr>
          <w:p w14:paraId="2C01D29E">
            <w:pPr>
              <w:autoSpaceDE w:val="0"/>
              <w:autoSpaceDN w:val="0"/>
              <w:adjustRightInd w:val="0"/>
              <w:jc w:val="center"/>
              <w:rPr>
                <w:rFonts w:hint="eastAsia" w:ascii="仿宋_GB2312" w:hAnsi="仿宋_GB2312" w:eastAsia="仿宋_GB2312" w:cs="仿宋_GB2312"/>
                <w:color w:val="5E6B87"/>
                <w:kern w:val="0"/>
                <w:sz w:val="28"/>
                <w:szCs w:val="28"/>
                <w:lang w:eastAsia="zh-CN"/>
              </w:rPr>
            </w:pPr>
            <w:r>
              <w:rPr>
                <w:rFonts w:hint="eastAsia" w:ascii="仿宋_GB2312" w:hAnsi="仿宋_GB2312" w:eastAsia="仿宋_GB2312" w:cs="仿宋_GB2312"/>
                <w:color w:val="5E6B87"/>
                <w:kern w:val="0"/>
                <w:sz w:val="28"/>
                <w:szCs w:val="28"/>
              </w:rPr>
              <w:t>C16060000</w:t>
            </w:r>
            <w:r>
              <w:rPr>
                <w:rFonts w:hint="eastAsia" w:ascii="仿宋_GB2312" w:hAnsi="仿宋_GB2312" w:eastAsia="仿宋_GB2312" w:cs="仿宋_GB2312"/>
                <w:color w:val="5E6B87"/>
                <w:kern w:val="0"/>
                <w:sz w:val="28"/>
                <w:szCs w:val="28"/>
                <w:lang w:eastAsia="zh-CN"/>
              </w:rPr>
              <w:t>测试评估认证服务</w:t>
            </w:r>
          </w:p>
        </w:tc>
        <w:tc>
          <w:tcPr>
            <w:tcW w:w="850" w:type="dxa"/>
            <w:shd w:val="clear" w:color="auto" w:fill="FFFFFF"/>
            <w:tcMar>
              <w:top w:w="0" w:type="dxa"/>
              <w:right w:w="0" w:type="dxa"/>
            </w:tcMar>
            <w:vAlign w:val="center"/>
          </w:tcPr>
          <w:p w14:paraId="2633EC82">
            <w:pPr>
              <w:autoSpaceDE w:val="0"/>
              <w:autoSpaceDN w:val="0"/>
              <w:adjustRightInd w:val="0"/>
              <w:jc w:val="center"/>
              <w:rPr>
                <w:rFonts w:hint="eastAsia" w:ascii="仿宋_GB2312" w:hAnsi="仿宋_GB2312" w:eastAsia="仿宋_GB2312" w:cs="仿宋_GB2312"/>
                <w:color w:val="5E6B87"/>
                <w:kern w:val="0"/>
                <w:sz w:val="28"/>
                <w:szCs w:val="28"/>
                <w:lang w:val="en-US" w:eastAsia="zh-CN"/>
              </w:rPr>
            </w:pPr>
            <w:r>
              <w:rPr>
                <w:rFonts w:hint="eastAsia" w:ascii="仿宋_GB2312" w:hAnsi="仿宋_GB2312" w:eastAsia="仿宋_GB2312" w:cs="仿宋_GB2312"/>
                <w:color w:val="5E6B87"/>
                <w:kern w:val="0"/>
                <w:sz w:val="28"/>
                <w:szCs w:val="28"/>
                <w:lang w:val="en-US" w:eastAsia="zh-CN"/>
              </w:rPr>
              <w:t>项</w:t>
            </w:r>
          </w:p>
        </w:tc>
        <w:tc>
          <w:tcPr>
            <w:tcW w:w="703" w:type="dxa"/>
            <w:shd w:val="clear" w:color="auto" w:fill="FFFFFF"/>
            <w:vAlign w:val="center"/>
          </w:tcPr>
          <w:p w14:paraId="156CBD6D">
            <w:pPr>
              <w:autoSpaceDE w:val="0"/>
              <w:autoSpaceDN w:val="0"/>
              <w:adjustRightInd w:val="0"/>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w:t>
            </w:r>
          </w:p>
        </w:tc>
        <w:tc>
          <w:tcPr>
            <w:tcW w:w="1200" w:type="dxa"/>
            <w:shd w:val="clear" w:color="auto" w:fill="FFFFFF"/>
            <w:vAlign w:val="center"/>
          </w:tcPr>
          <w:p w14:paraId="66B3A3A9">
            <w:pPr>
              <w:autoSpaceDE w:val="0"/>
              <w:autoSpaceDN w:val="0"/>
              <w:adjustRightInd w:val="0"/>
              <w:jc w:val="center"/>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80000</w:t>
            </w:r>
          </w:p>
        </w:tc>
        <w:tc>
          <w:tcPr>
            <w:tcW w:w="1837" w:type="dxa"/>
            <w:shd w:val="clear" w:color="auto" w:fill="FFFFFF"/>
            <w:tcMar>
              <w:top w:w="0" w:type="dxa"/>
              <w:right w:w="0" w:type="dxa"/>
            </w:tcMar>
            <w:vAlign w:val="center"/>
          </w:tcPr>
          <w:p w14:paraId="173D0A01">
            <w:pPr>
              <w:autoSpaceDE w:val="0"/>
              <w:autoSpaceDN w:val="0"/>
              <w:adjustRightInd w:val="0"/>
              <w:jc w:val="center"/>
              <w:rPr>
                <w:rFonts w:hint="eastAsia" w:ascii="仿宋_GB2312" w:hAnsi="仿宋_GB2312" w:eastAsia="仿宋_GB2312" w:cs="仿宋_GB2312"/>
                <w:color w:val="5E6B87"/>
                <w:kern w:val="0"/>
                <w:sz w:val="28"/>
                <w:szCs w:val="28"/>
                <w:lang w:val="en-US" w:eastAsia="zh-CN"/>
              </w:rPr>
            </w:pPr>
            <w:r>
              <w:rPr>
                <w:rFonts w:hint="eastAsia" w:ascii="仿宋_GB2312" w:hAnsi="仿宋_GB2312" w:eastAsia="仿宋_GB2312" w:cs="仿宋_GB2312"/>
                <w:color w:val="5E6B87"/>
                <w:kern w:val="0"/>
                <w:sz w:val="28"/>
                <w:szCs w:val="28"/>
                <w:lang w:val="en-US" w:eastAsia="zh-CN"/>
              </w:rPr>
              <w:t>否</w:t>
            </w:r>
          </w:p>
        </w:tc>
      </w:tr>
    </w:tbl>
    <w:p w14:paraId="12F8F315">
      <w:pPr>
        <w:numPr>
          <w:ilvl w:val="0"/>
          <w:numId w:val="0"/>
        </w:numPr>
        <w:rPr>
          <w:rFonts w:hint="default" w:ascii="仿宋_GB2312" w:hAnsi="仿宋_GB2312" w:eastAsia="仿宋_GB2312" w:cs="仿宋_GB2312"/>
          <w:b/>
          <w:bCs/>
          <w:sz w:val="24"/>
          <w:szCs w:val="24"/>
          <w:lang w:val="en-US"/>
        </w:rPr>
      </w:pPr>
      <w:r>
        <w:rPr>
          <w:rFonts w:hint="eastAsia" w:ascii="仿宋_GB2312" w:hAnsi="仿宋_GB2312" w:eastAsia="仿宋_GB2312" w:cs="仿宋_GB2312"/>
          <w:b/>
          <w:bCs/>
          <w:sz w:val="24"/>
          <w:szCs w:val="24"/>
          <w:lang w:val="en-US" w:eastAsia="zh-CN"/>
        </w:rPr>
        <w:t>备注：本服务涉及商用密码应用安全性评估对象为互联网医院系统（等级保护三级）。</w:t>
      </w:r>
    </w:p>
    <w:p w14:paraId="6BC97D3F">
      <w:pPr>
        <w:numPr>
          <w:ilvl w:val="0"/>
          <w:numId w:val="0"/>
        </w:numPr>
        <w:rPr>
          <w:rFonts w:hint="eastAsia"/>
          <w:b/>
          <w:bCs/>
          <w:lang w:val="en-US" w:eastAsia="zh-CN"/>
        </w:rPr>
      </w:pP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按照规定及项目情况设置投标供应商资格要求：</w:t>
      </w:r>
    </w:p>
    <w:p w14:paraId="4B2DDB84">
      <w:pPr>
        <w:pStyle w:val="14"/>
        <w:numPr>
          <w:ilvl w:val="255"/>
          <w:numId w:val="0"/>
        </w:numPr>
        <w:spacing w:after="157" w:afterLines="5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.1、供应商必须是中华人民共和国的公司企业法人注册，具有合法经营资格的国内独立法人，《营业执照》、《税务登记证》、《组织机构代码证》或“三证合一”的《营业执照》（</w:t>
      </w:r>
      <w:r>
        <w:rPr>
          <w:rFonts w:ascii="宋体" w:hAnsi="宋体" w:eastAsia="宋体" w:cs="宋体"/>
          <w:sz w:val="24"/>
          <w:szCs w:val="24"/>
        </w:rPr>
        <w:t>提供有效证书扫描件（加盖公章）</w:t>
      </w:r>
      <w:r>
        <w:rPr>
          <w:rFonts w:hint="eastAsia" w:ascii="仿宋_GB2312" w:hAnsi="仿宋_GB2312" w:eastAsia="仿宋_GB2312" w:cs="仿宋_GB2312"/>
          <w:sz w:val="24"/>
        </w:rPr>
        <w:t>，原件备查）；</w:t>
      </w:r>
    </w:p>
    <w:p w14:paraId="22ADAFC9">
      <w:pPr>
        <w:pStyle w:val="14"/>
        <w:numPr>
          <w:ilvl w:val="255"/>
          <w:numId w:val="0"/>
        </w:numPr>
        <w:spacing w:after="157" w:afterLines="50"/>
        <w:rPr>
          <w:rFonts w:hint="eastAsia" w:ascii="仿宋_GB2312" w:hAnsi="仿宋_GB2312" w:eastAsia="仿宋_GB2312" w:cs="仿宋_GB2312"/>
          <w:sz w:val="24"/>
          <w:szCs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.2、供应商必须具备</w:t>
      </w:r>
      <w:r>
        <w:rPr>
          <w:rFonts w:hint="eastAsia" w:ascii="仿宋_GB2312" w:hAnsi="仿宋_GB2312" w:eastAsia="仿宋_GB2312" w:cs="仿宋_GB2312"/>
          <w:color w:val="000000"/>
          <w:kern w:val="0"/>
          <w:sz w:val="24"/>
          <w:szCs w:val="24"/>
          <w:lang w:val="en-US" w:eastAsia="zh-CN"/>
        </w:rPr>
        <w:t>国家密码管理局颁发的《商用密码检测机构资质证书》</w:t>
      </w:r>
      <w:r>
        <w:rPr>
          <w:rFonts w:hint="eastAsia" w:ascii="仿宋_GB2312" w:hAnsi="仿宋_GB2312" w:eastAsia="仿宋_GB2312" w:cs="仿宋_GB2312"/>
          <w:sz w:val="24"/>
        </w:rPr>
        <w:t>（</w:t>
      </w:r>
      <w:r>
        <w:rPr>
          <w:rFonts w:ascii="宋体" w:hAnsi="宋体" w:eastAsia="宋体" w:cs="宋体"/>
          <w:sz w:val="24"/>
          <w:szCs w:val="24"/>
        </w:rPr>
        <w:t>提供有效证书扫描件（加盖公章）</w:t>
      </w:r>
      <w:r>
        <w:rPr>
          <w:rFonts w:hint="eastAsia" w:ascii="仿宋_GB2312" w:hAnsi="仿宋_GB2312" w:eastAsia="仿宋_GB2312" w:cs="仿宋_GB2312"/>
          <w:sz w:val="24"/>
        </w:rPr>
        <w:t>，原件备查）。</w:t>
      </w:r>
    </w:p>
    <w:p w14:paraId="685F779A">
      <w:pPr>
        <w:pStyle w:val="14"/>
        <w:numPr>
          <w:ilvl w:val="255"/>
          <w:numId w:val="0"/>
        </w:numPr>
        <w:spacing w:after="157" w:afterLines="5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.3、供应商必须承诺参与本项目投标前三年内，在经营活动中没有重大违法记录，以及参与本项目政府采购活动时不存在被有关部门禁止参与政府采购活动且在有效期内的情况（承诺函模板见附件）；</w:t>
      </w:r>
    </w:p>
    <w:p w14:paraId="16B4584A">
      <w:pPr>
        <w:spacing w:after="157" w:afterLines="50" w:line="240" w:lineRule="auto"/>
        <w:rPr>
          <w:rFonts w:hint="eastAsia" w:ascii="仿宋_GB2312" w:hAnsi="仿宋_GB2312" w:eastAsia="仿宋_GB2312" w:cs="仿宋_GB2312"/>
          <w:sz w:val="24"/>
        </w:rPr>
      </w:pPr>
      <w:r>
        <w:rPr>
          <w:rFonts w:hint="eastAsia" w:ascii="仿宋_GB2312" w:hAnsi="仿宋_GB2312" w:eastAsia="仿宋_GB2312" w:cs="仿宋_GB2312"/>
          <w:sz w:val="24"/>
        </w:rPr>
        <w:t>注：供应商若提供虚假资料一旦被查实，则可能面临被取消本项目资格、列入不良行为名单内。</w:t>
      </w:r>
    </w:p>
    <w:p w14:paraId="3794EC5D">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技术</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服务</w:t>
      </w:r>
      <w:r>
        <w:rPr>
          <w:rFonts w:hint="eastAsia" w:ascii="仿宋_GB2312" w:hAnsi="仿宋_GB2312" w:eastAsia="仿宋_GB2312" w:cs="仿宋_GB2312"/>
          <w:b/>
          <w:bCs/>
          <w:sz w:val="28"/>
          <w:szCs w:val="28"/>
        </w:rPr>
        <w:t>要求与商务要求</w:t>
      </w:r>
      <w:r>
        <w:rPr>
          <w:rFonts w:hint="eastAsia" w:ascii="仿宋_GB2312" w:hAnsi="仿宋_GB2312" w:eastAsia="仿宋_GB2312" w:cs="仿宋_GB2312"/>
          <w:b/>
          <w:bCs/>
          <w:sz w:val="28"/>
          <w:szCs w:val="28"/>
          <w:lang w:eastAsia="zh-CN"/>
        </w:rPr>
        <w:t>：</w:t>
      </w:r>
    </w:p>
    <w:p w14:paraId="5C8F31FD">
      <w:pPr>
        <w:numPr>
          <w:ilvl w:val="0"/>
          <w:numId w:val="0"/>
        </w:numPr>
        <w:ind w:left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6.1服务</w:t>
      </w:r>
      <w:r>
        <w:rPr>
          <w:rFonts w:hint="eastAsia" w:ascii="仿宋_GB2312" w:hAnsi="仿宋_GB2312" w:eastAsia="仿宋_GB2312" w:cs="仿宋_GB2312"/>
          <w:sz w:val="28"/>
          <w:szCs w:val="28"/>
        </w:rPr>
        <w:t>要求</w:t>
      </w:r>
      <w:r>
        <w:rPr>
          <w:rFonts w:hint="eastAsia" w:ascii="仿宋_GB2312" w:hAnsi="仿宋_GB2312" w:eastAsia="仿宋_GB2312" w:cs="仿宋_GB2312"/>
          <w:sz w:val="28"/>
          <w:szCs w:val="28"/>
          <w:lang w:eastAsia="zh-CN"/>
        </w:rPr>
        <w:t>：</w:t>
      </w:r>
    </w:p>
    <w:p w14:paraId="46764414">
      <w:pPr>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6.1.1</w:t>
      </w:r>
      <w:r>
        <w:rPr>
          <w:rFonts w:hint="eastAsia" w:ascii="仿宋_GB2312" w:hAnsi="仿宋_GB2312" w:eastAsia="仿宋_GB2312" w:cs="仿宋_GB2312"/>
          <w:b w:val="0"/>
          <w:bCs/>
          <w:sz w:val="24"/>
          <w:szCs w:val="24"/>
        </w:rPr>
        <w:t>. 商用密码应用安全性评估</w:t>
      </w:r>
    </w:p>
    <w:p w14:paraId="75FC6DB7">
      <w:pPr>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对互联网医院系统商用密码应用安全性进行评估</w:t>
      </w:r>
      <w:r>
        <w:rPr>
          <w:rFonts w:hint="eastAsia" w:ascii="仿宋_GB2312" w:hAnsi="仿宋_GB2312" w:eastAsia="仿宋_GB2312" w:cs="仿宋_GB2312"/>
          <w:b w:val="0"/>
          <w:bCs/>
          <w:sz w:val="24"/>
          <w:szCs w:val="24"/>
          <w:shd w:val="clear" w:color="auto" w:fill="FFFFFF"/>
        </w:rPr>
        <w:t>，包括但不限于以下</w:t>
      </w:r>
      <w:r>
        <w:rPr>
          <w:rFonts w:hint="eastAsia" w:ascii="仿宋_GB2312" w:hAnsi="仿宋_GB2312" w:eastAsia="仿宋_GB2312" w:cs="仿宋_GB2312"/>
          <w:b w:val="0"/>
          <w:bCs/>
          <w:sz w:val="24"/>
          <w:szCs w:val="24"/>
          <w:shd w:val="clear" w:color="auto" w:fill="FFFFFF"/>
          <w:lang w:val="en-US" w:eastAsia="zh-CN"/>
        </w:rPr>
        <w:t>服务</w:t>
      </w:r>
      <w:r>
        <w:rPr>
          <w:rFonts w:hint="eastAsia" w:ascii="仿宋_GB2312" w:hAnsi="仿宋_GB2312" w:eastAsia="仿宋_GB2312" w:cs="仿宋_GB2312"/>
          <w:b w:val="0"/>
          <w:bCs/>
          <w:sz w:val="24"/>
          <w:szCs w:val="24"/>
          <w:shd w:val="clear" w:color="auto" w:fill="FFFFFF"/>
        </w:rPr>
        <w:t>要求：</w:t>
      </w:r>
    </w:p>
    <w:p w14:paraId="66FB285E">
      <w:pPr>
        <w:widowControl/>
        <w:spacing w:line="240" w:lineRule="auto"/>
        <w:ind w:left="0" w:leftChars="0" w:firstLine="0" w:firstLineChars="0"/>
        <w:jc w:val="left"/>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shd w:val="clear" w:color="auto" w:fill="FFFFFF"/>
          <w:lang w:val="en-US" w:eastAsia="zh-CN"/>
        </w:rPr>
        <w:t>6.1.1.1</w:t>
      </w:r>
      <w:r>
        <w:rPr>
          <w:rFonts w:hint="eastAsia" w:ascii="仿宋_GB2312" w:hAnsi="仿宋_GB2312" w:eastAsia="仿宋_GB2312" w:cs="仿宋_GB2312"/>
          <w:b w:val="0"/>
          <w:bCs/>
          <w:sz w:val="24"/>
          <w:szCs w:val="24"/>
          <w:shd w:val="clear" w:color="auto" w:fill="FFFFFF"/>
        </w:rPr>
        <w:t>通用要求评估</w:t>
      </w:r>
    </w:p>
    <w:tbl>
      <w:tblPr>
        <w:tblStyle w:val="7"/>
        <w:tblW w:w="8938" w:type="dxa"/>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30"/>
        <w:gridCol w:w="6608"/>
      </w:tblGrid>
      <w:tr w14:paraId="3F9E3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30"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373C548D">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rPr>
              <w:t>内容</w:t>
            </w:r>
          </w:p>
        </w:tc>
        <w:tc>
          <w:tcPr>
            <w:tcW w:w="6608"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484C6759">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具体要求</w:t>
            </w:r>
          </w:p>
        </w:tc>
      </w:tr>
      <w:tr w14:paraId="14F17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29D0A46D">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密码算法合规性</w:t>
            </w:r>
            <w:r>
              <w:rPr>
                <w:rFonts w:hint="eastAsia" w:ascii="仿宋_GB2312" w:hAnsi="仿宋_GB2312" w:eastAsia="仿宋_GB2312" w:cs="仿宋_GB2312"/>
                <w:b w:val="0"/>
                <w:bCs/>
                <w:sz w:val="24"/>
                <w:szCs w:val="24"/>
                <w:lang w:val="en-US"/>
              </w:rPr>
              <w:t>评估</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6BCF2772">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信息系统中使用的密码算法是否符合法律、法规的规定和密码相关国家标准、行业标准的有关要求。</w:t>
            </w:r>
          </w:p>
        </w:tc>
      </w:tr>
      <w:tr w14:paraId="08C64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4C100E43">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密码技术合规性</w:t>
            </w:r>
            <w:r>
              <w:rPr>
                <w:rFonts w:hint="eastAsia" w:ascii="仿宋_GB2312" w:hAnsi="仿宋_GB2312" w:eastAsia="仿宋_GB2312" w:cs="仿宋_GB2312"/>
                <w:b w:val="0"/>
                <w:bCs/>
                <w:sz w:val="24"/>
                <w:szCs w:val="24"/>
                <w:lang w:val="en-US"/>
              </w:rPr>
              <w:t>评估</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4DE5775B">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信息系统中使用的密码技术是否遵循密码相关国家标准和行业标准。</w:t>
            </w:r>
          </w:p>
        </w:tc>
      </w:tr>
      <w:tr w14:paraId="47E03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5B8E847C">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密码产品合规性</w:t>
            </w:r>
            <w:r>
              <w:rPr>
                <w:rFonts w:hint="eastAsia" w:ascii="仿宋_GB2312" w:hAnsi="仿宋_GB2312" w:eastAsia="仿宋_GB2312" w:cs="仿宋_GB2312"/>
                <w:b w:val="0"/>
                <w:bCs/>
                <w:sz w:val="24"/>
                <w:szCs w:val="24"/>
                <w:lang w:val="en-US"/>
              </w:rPr>
              <w:t>评估</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331B4E9D">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信息系统中使用的密码产品与密码模块是否通过国家密码管理部门核准。</w:t>
            </w:r>
          </w:p>
        </w:tc>
      </w:tr>
      <w:tr w14:paraId="5C82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43124A8A">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密码服务合规性</w:t>
            </w:r>
            <w:r>
              <w:rPr>
                <w:rFonts w:hint="eastAsia" w:ascii="仿宋_GB2312" w:hAnsi="仿宋_GB2312" w:eastAsia="仿宋_GB2312" w:cs="仿宋_GB2312"/>
                <w:b w:val="0"/>
                <w:bCs/>
                <w:sz w:val="24"/>
                <w:szCs w:val="24"/>
                <w:lang w:val="en-US"/>
              </w:rPr>
              <w:t>评估</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1181204D">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信息系统中使用的密码服务是否通过国家密码管理部门许可。</w:t>
            </w:r>
          </w:p>
        </w:tc>
      </w:tr>
    </w:tbl>
    <w:p w14:paraId="1892104B">
      <w:pPr>
        <w:widowControl/>
        <w:spacing w:line="240" w:lineRule="auto"/>
        <w:ind w:left="0" w:leftChars="0" w:firstLine="0" w:firstLineChars="0"/>
        <w:jc w:val="left"/>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shd w:val="clear" w:color="auto" w:fill="FFFFFF"/>
          <w:lang w:val="en-US" w:eastAsia="zh-CN"/>
        </w:rPr>
        <w:t>6.1.1.</w:t>
      </w:r>
      <w:r>
        <w:rPr>
          <w:rFonts w:hint="eastAsia" w:ascii="仿宋_GB2312" w:hAnsi="仿宋_GB2312" w:eastAsia="仿宋_GB2312" w:cs="仿宋_GB2312"/>
          <w:b w:val="0"/>
          <w:bCs/>
          <w:sz w:val="24"/>
          <w:szCs w:val="24"/>
          <w:shd w:val="clear" w:color="auto" w:fill="FFFFFF"/>
        </w:rPr>
        <w:t>2密码技术应用安全评估</w:t>
      </w:r>
    </w:p>
    <w:p w14:paraId="44CD417F">
      <w:pPr>
        <w:widowControl/>
        <w:spacing w:line="240" w:lineRule="auto"/>
        <w:ind w:left="0" w:leftChars="0" w:firstLine="0" w:firstLineChars="0"/>
        <w:jc w:val="left"/>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shd w:val="clear" w:color="auto" w:fill="FFFFFF"/>
        </w:rPr>
        <w:t>密码技术应用安全主要从物理和环境、网络和通信、设备和计算、应用和数据4个层面对信息系统中应用的密码技术进行分析与评估。</w:t>
      </w:r>
    </w:p>
    <w:tbl>
      <w:tblPr>
        <w:tblStyle w:val="7"/>
        <w:tblW w:w="9022" w:type="dxa"/>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13"/>
        <w:gridCol w:w="6709"/>
      </w:tblGrid>
      <w:tr w14:paraId="6FC8D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13"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042C4E5A">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rPr>
              <w:t>评估</w:t>
            </w:r>
            <w:r>
              <w:rPr>
                <w:rFonts w:hint="eastAsia" w:ascii="仿宋_GB2312" w:hAnsi="仿宋_GB2312" w:eastAsia="仿宋_GB2312" w:cs="仿宋_GB2312"/>
                <w:b w:val="0"/>
                <w:bCs/>
                <w:sz w:val="24"/>
                <w:szCs w:val="24"/>
              </w:rPr>
              <w:t>内容</w:t>
            </w:r>
          </w:p>
        </w:tc>
        <w:tc>
          <w:tcPr>
            <w:tcW w:w="6709"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3B719B05">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具体要求</w:t>
            </w:r>
          </w:p>
        </w:tc>
      </w:tr>
      <w:tr w14:paraId="1FC28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1E061587">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物理和环境</w:t>
            </w:r>
            <w:r>
              <w:rPr>
                <w:rFonts w:hint="eastAsia" w:ascii="仿宋_GB2312" w:hAnsi="仿宋_GB2312" w:eastAsia="仿宋_GB2312" w:cs="仿宋_GB2312"/>
                <w:b w:val="0"/>
                <w:bCs/>
                <w:sz w:val="24"/>
                <w:szCs w:val="24"/>
                <w:lang w:val="en-US"/>
              </w:rPr>
              <w:t>评估</w:t>
            </w:r>
          </w:p>
        </w:tc>
        <w:tc>
          <w:tcPr>
            <w:tcW w:w="6709" w:type="dxa"/>
            <w:tcBorders>
              <w:top w:val="single" w:color="000000" w:sz="6" w:space="0"/>
              <w:left w:val="single" w:color="000000" w:sz="6" w:space="0"/>
              <w:bottom w:val="single" w:color="000000" w:sz="6" w:space="0"/>
              <w:right w:val="single" w:color="000000" w:sz="6" w:space="0"/>
            </w:tcBorders>
            <w:noWrap w:val="0"/>
            <w:vAlign w:val="center"/>
          </w:tcPr>
          <w:p w14:paraId="7EEAF009">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分析评估信息系统是否合理、合规的利用商用密码完整性、真实性功能，对影响信息系统安全防护效能的物理和环境层面因素进行保护。包括但不限于</w:t>
            </w:r>
            <w:r>
              <w:rPr>
                <w:rFonts w:hint="eastAsia" w:ascii="仿宋_GB2312" w:hAnsi="仿宋_GB2312" w:eastAsia="仿宋_GB2312" w:cs="仿宋_GB2312"/>
                <w:b w:val="0"/>
                <w:bCs/>
                <w:sz w:val="24"/>
                <w:szCs w:val="24"/>
                <w:lang w:val="en-US"/>
              </w:rPr>
              <w:t>以下内容</w:t>
            </w:r>
            <w:r>
              <w:rPr>
                <w:rFonts w:hint="eastAsia" w:ascii="仿宋_GB2312" w:hAnsi="仿宋_GB2312" w:eastAsia="仿宋_GB2312" w:cs="仿宋_GB2312"/>
                <w:b w:val="0"/>
                <w:bCs/>
                <w:sz w:val="24"/>
                <w:szCs w:val="24"/>
              </w:rPr>
              <w:t>：重要</w:t>
            </w:r>
            <w:r>
              <w:rPr>
                <w:rFonts w:hint="eastAsia" w:ascii="仿宋_GB2312" w:hAnsi="仿宋_GB2312" w:eastAsia="仿宋_GB2312" w:cs="仿宋_GB2312"/>
                <w:b w:val="0"/>
                <w:bCs/>
                <w:sz w:val="24"/>
                <w:szCs w:val="24"/>
                <w:lang w:val="en-US"/>
              </w:rPr>
              <w:t>区域</w:t>
            </w:r>
            <w:r>
              <w:rPr>
                <w:rFonts w:hint="eastAsia" w:ascii="仿宋_GB2312" w:hAnsi="仿宋_GB2312" w:eastAsia="仿宋_GB2312" w:cs="仿宋_GB2312"/>
                <w:b w:val="0"/>
                <w:bCs/>
                <w:sz w:val="24"/>
                <w:szCs w:val="24"/>
              </w:rPr>
              <w:t>的物理访问控制，监控设备的物理访问控制，物理访问记录、监控信息等</w:t>
            </w:r>
            <w:r>
              <w:rPr>
                <w:rFonts w:hint="eastAsia" w:ascii="仿宋_GB2312" w:hAnsi="仿宋_GB2312" w:eastAsia="仿宋_GB2312" w:cs="仿宋_GB2312"/>
                <w:b w:val="0"/>
                <w:bCs/>
                <w:sz w:val="24"/>
                <w:szCs w:val="24"/>
                <w:lang w:val="en-US"/>
              </w:rPr>
              <w:t>记录</w:t>
            </w:r>
            <w:r>
              <w:rPr>
                <w:rFonts w:hint="eastAsia" w:ascii="仿宋_GB2312" w:hAnsi="仿宋_GB2312" w:eastAsia="仿宋_GB2312" w:cs="仿宋_GB2312"/>
                <w:b w:val="0"/>
                <w:bCs/>
                <w:sz w:val="24"/>
                <w:szCs w:val="24"/>
              </w:rPr>
              <w:t>数据</w:t>
            </w:r>
            <w:r>
              <w:rPr>
                <w:rFonts w:hint="eastAsia" w:ascii="仿宋_GB2312" w:hAnsi="仿宋_GB2312" w:eastAsia="仿宋_GB2312" w:cs="仿宋_GB2312"/>
                <w:b w:val="0"/>
                <w:bCs/>
                <w:sz w:val="24"/>
                <w:szCs w:val="24"/>
                <w:lang w:val="en-US"/>
              </w:rPr>
              <w:t>的存储</w:t>
            </w:r>
            <w:r>
              <w:rPr>
                <w:rFonts w:hint="eastAsia" w:ascii="仿宋_GB2312" w:hAnsi="仿宋_GB2312" w:eastAsia="仿宋_GB2312" w:cs="仿宋_GB2312"/>
                <w:b w:val="0"/>
                <w:bCs/>
                <w:sz w:val="24"/>
                <w:szCs w:val="24"/>
              </w:rPr>
              <w:t>完整性。</w:t>
            </w:r>
          </w:p>
        </w:tc>
      </w:tr>
      <w:tr w14:paraId="22391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044715DF">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网络和通信</w:t>
            </w:r>
            <w:r>
              <w:rPr>
                <w:rFonts w:hint="eastAsia" w:ascii="仿宋_GB2312" w:hAnsi="仿宋_GB2312" w:eastAsia="仿宋_GB2312" w:cs="仿宋_GB2312"/>
                <w:b w:val="0"/>
                <w:bCs/>
                <w:sz w:val="24"/>
                <w:szCs w:val="24"/>
                <w:lang w:val="en-US"/>
              </w:rPr>
              <w:t>评估</w:t>
            </w:r>
          </w:p>
        </w:tc>
        <w:tc>
          <w:tcPr>
            <w:tcW w:w="6709" w:type="dxa"/>
            <w:tcBorders>
              <w:top w:val="single" w:color="000000" w:sz="6" w:space="0"/>
              <w:left w:val="single" w:color="000000" w:sz="6" w:space="0"/>
              <w:bottom w:val="single" w:color="000000" w:sz="6" w:space="0"/>
              <w:right w:val="single" w:color="000000" w:sz="6" w:space="0"/>
            </w:tcBorders>
            <w:noWrap w:val="0"/>
            <w:vAlign w:val="center"/>
          </w:tcPr>
          <w:p w14:paraId="4E961557">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分析评估信息系统是否合理、合规的利用商用密码机密性、完整性、真实性功能，对影响信息系统安全防护效能的网络和通信层面因素进行保护。包括但不限于</w:t>
            </w:r>
            <w:r>
              <w:rPr>
                <w:rFonts w:hint="eastAsia" w:ascii="仿宋_GB2312" w:hAnsi="仿宋_GB2312" w:eastAsia="仿宋_GB2312" w:cs="仿宋_GB2312"/>
                <w:b w:val="0"/>
                <w:bCs/>
                <w:sz w:val="24"/>
                <w:szCs w:val="24"/>
                <w:lang w:val="en-US"/>
              </w:rPr>
              <w:t>以下内容</w:t>
            </w:r>
            <w:r>
              <w:rPr>
                <w:rFonts w:hint="eastAsia" w:ascii="仿宋_GB2312" w:hAnsi="仿宋_GB2312" w:eastAsia="仿宋_GB2312" w:cs="仿宋_GB2312"/>
                <w:b w:val="0"/>
                <w:bCs/>
                <w:sz w:val="24"/>
                <w:szCs w:val="24"/>
              </w:rPr>
              <w:t>：</w:t>
            </w:r>
            <w:r>
              <w:rPr>
                <w:rFonts w:hint="eastAsia" w:ascii="仿宋_GB2312" w:hAnsi="仿宋_GB2312" w:eastAsia="仿宋_GB2312" w:cs="仿宋_GB2312"/>
                <w:b w:val="0"/>
                <w:bCs/>
                <w:sz w:val="24"/>
                <w:szCs w:val="24"/>
                <w:lang w:val="en-US"/>
              </w:rPr>
              <w:t>通信实体身份的真实性，</w:t>
            </w:r>
            <w:r>
              <w:rPr>
                <w:rFonts w:hint="eastAsia" w:ascii="仿宋_GB2312" w:hAnsi="仿宋_GB2312" w:eastAsia="仿宋_GB2312" w:cs="仿宋_GB2312"/>
                <w:b w:val="0"/>
                <w:bCs/>
                <w:sz w:val="24"/>
                <w:szCs w:val="24"/>
              </w:rPr>
              <w:t>通信</w:t>
            </w:r>
            <w:r>
              <w:rPr>
                <w:rFonts w:hint="eastAsia" w:ascii="仿宋_GB2312" w:hAnsi="仿宋_GB2312" w:eastAsia="仿宋_GB2312" w:cs="仿宋_GB2312"/>
                <w:b w:val="0"/>
                <w:bCs/>
                <w:sz w:val="24"/>
                <w:szCs w:val="24"/>
                <w:lang w:val="en-US"/>
              </w:rPr>
              <w:t>过程中</w:t>
            </w:r>
            <w:r>
              <w:rPr>
                <w:rFonts w:hint="eastAsia" w:ascii="仿宋_GB2312" w:hAnsi="仿宋_GB2312" w:eastAsia="仿宋_GB2312" w:cs="仿宋_GB2312"/>
                <w:b w:val="0"/>
                <w:bCs/>
                <w:sz w:val="24"/>
                <w:szCs w:val="24"/>
              </w:rPr>
              <w:t>数据</w:t>
            </w:r>
            <w:r>
              <w:rPr>
                <w:rFonts w:hint="eastAsia" w:ascii="仿宋_GB2312" w:hAnsi="仿宋_GB2312" w:eastAsia="仿宋_GB2312" w:cs="仿宋_GB2312"/>
                <w:b w:val="0"/>
                <w:bCs/>
                <w:sz w:val="24"/>
                <w:szCs w:val="24"/>
                <w:lang w:val="en-US"/>
              </w:rPr>
              <w:t>的</w:t>
            </w:r>
            <w:r>
              <w:rPr>
                <w:rFonts w:hint="eastAsia" w:ascii="仿宋_GB2312" w:hAnsi="仿宋_GB2312" w:eastAsia="仿宋_GB2312" w:cs="仿宋_GB2312"/>
                <w:b w:val="0"/>
                <w:bCs/>
                <w:sz w:val="24"/>
                <w:szCs w:val="24"/>
              </w:rPr>
              <w:t>完整性，</w:t>
            </w:r>
            <w:r>
              <w:rPr>
                <w:rFonts w:hint="eastAsia" w:ascii="仿宋_GB2312" w:hAnsi="仿宋_GB2312" w:eastAsia="仿宋_GB2312" w:cs="仿宋_GB2312"/>
                <w:b w:val="0"/>
                <w:bCs/>
                <w:sz w:val="24"/>
                <w:szCs w:val="24"/>
                <w:lang w:val="en-US"/>
              </w:rPr>
              <w:t>重要数据的</w:t>
            </w:r>
            <w:r>
              <w:rPr>
                <w:rFonts w:hint="eastAsia" w:ascii="仿宋_GB2312" w:hAnsi="仿宋_GB2312" w:eastAsia="仿宋_GB2312" w:cs="仿宋_GB2312"/>
                <w:b w:val="0"/>
                <w:bCs/>
                <w:sz w:val="24"/>
                <w:szCs w:val="24"/>
              </w:rPr>
              <w:t>机密性，网络边界访问控制信息完整性，安全认证连接到内部网络的设备，通信双方的身份认证过程。</w:t>
            </w:r>
          </w:p>
        </w:tc>
      </w:tr>
      <w:tr w14:paraId="21A7C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2"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6BE229BE">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设备和计算</w:t>
            </w:r>
            <w:r>
              <w:rPr>
                <w:rFonts w:hint="eastAsia" w:ascii="仿宋_GB2312" w:hAnsi="仿宋_GB2312" w:eastAsia="仿宋_GB2312" w:cs="仿宋_GB2312"/>
                <w:b w:val="0"/>
                <w:bCs/>
                <w:sz w:val="24"/>
                <w:szCs w:val="24"/>
                <w:lang w:val="en-US"/>
              </w:rPr>
              <w:t>评估</w:t>
            </w:r>
          </w:p>
        </w:tc>
        <w:tc>
          <w:tcPr>
            <w:tcW w:w="6709" w:type="dxa"/>
            <w:tcBorders>
              <w:top w:val="single" w:color="000000" w:sz="6" w:space="0"/>
              <w:left w:val="single" w:color="000000" w:sz="6" w:space="0"/>
              <w:bottom w:val="single" w:color="000000" w:sz="6" w:space="0"/>
              <w:right w:val="single" w:color="000000" w:sz="6" w:space="0"/>
            </w:tcBorders>
            <w:noWrap w:val="0"/>
            <w:vAlign w:val="center"/>
          </w:tcPr>
          <w:p w14:paraId="77E38F01">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分析评估信息系统是否合理、合规的利用商用密码机密性、完整性、真实性功能，对影响信息系统安全防护效能的设备和计算层面因素进行保护。包括但不限于</w:t>
            </w:r>
            <w:r>
              <w:rPr>
                <w:rFonts w:hint="eastAsia" w:ascii="仿宋_GB2312" w:hAnsi="仿宋_GB2312" w:eastAsia="仿宋_GB2312" w:cs="仿宋_GB2312"/>
                <w:b w:val="0"/>
                <w:bCs/>
                <w:sz w:val="24"/>
                <w:szCs w:val="24"/>
                <w:lang w:val="en-US"/>
              </w:rPr>
              <w:t>一下内容</w:t>
            </w:r>
            <w:r>
              <w:rPr>
                <w:rFonts w:hint="eastAsia" w:ascii="仿宋_GB2312" w:hAnsi="仿宋_GB2312" w:eastAsia="仿宋_GB2312" w:cs="仿宋_GB2312"/>
                <w:b w:val="0"/>
                <w:bCs/>
                <w:sz w:val="24"/>
                <w:szCs w:val="24"/>
              </w:rPr>
              <w:t>：登录信息系统设备和计算环境的用户身份鉴别过程，系统设备和计算环境资源访问控制信息完整性，重要信息资源敏感标记完整性，重要程序或文件完整性，信息系统设备和计算环境的日志记录完整性。</w:t>
            </w:r>
          </w:p>
        </w:tc>
      </w:tr>
      <w:tr w14:paraId="3D0ED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13"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0B38087B">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应用和数据</w:t>
            </w:r>
            <w:r>
              <w:rPr>
                <w:rFonts w:hint="eastAsia" w:ascii="仿宋_GB2312" w:hAnsi="仿宋_GB2312" w:eastAsia="仿宋_GB2312" w:cs="仿宋_GB2312"/>
                <w:b w:val="0"/>
                <w:bCs/>
                <w:sz w:val="24"/>
                <w:szCs w:val="24"/>
                <w:lang w:val="en-US"/>
              </w:rPr>
              <w:t>评估</w:t>
            </w:r>
          </w:p>
        </w:tc>
        <w:tc>
          <w:tcPr>
            <w:tcW w:w="6709" w:type="dxa"/>
            <w:tcBorders>
              <w:top w:val="single" w:color="000000" w:sz="6" w:space="0"/>
              <w:left w:val="single" w:color="000000" w:sz="6" w:space="0"/>
              <w:bottom w:val="single" w:color="000000" w:sz="6" w:space="0"/>
              <w:right w:val="single" w:color="000000" w:sz="6" w:space="0"/>
            </w:tcBorders>
            <w:noWrap w:val="0"/>
            <w:vAlign w:val="center"/>
          </w:tcPr>
          <w:p w14:paraId="5303EE48">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pacing w:val="-1"/>
                <w:sz w:val="24"/>
                <w:szCs w:val="24"/>
              </w:rPr>
              <w:t>分析评估信息系统是否合理、合规的利用商用密码机密性、完整性、真实性以及不可否认性功能，对影响信息系统安全防护效能的应用和数据层面因素进行保护。包括但不限于下列典型因素：登录信息系统应用和数据操作环境的用户身份鉴别过程，系统应用和数据操作环境资源访问控制信息完整性，重要信息资源敏感标记完整性，重要数据传输过程的机密性、完整性，重要信息存储过程的机密性、完整性，重要程序的加载和卸载过程，信息系统应用</w:t>
            </w:r>
            <w:r>
              <w:rPr>
                <w:rFonts w:hint="eastAsia" w:ascii="仿宋_GB2312" w:hAnsi="仿宋_GB2312" w:eastAsia="仿宋_GB2312" w:cs="仿宋_GB2312"/>
                <w:b w:val="0"/>
                <w:bCs/>
                <w:spacing w:val="-1"/>
                <w:sz w:val="24"/>
                <w:szCs w:val="24"/>
                <w:lang w:val="en-US"/>
              </w:rPr>
              <w:t>原发和数据接收</w:t>
            </w:r>
            <w:r>
              <w:rPr>
                <w:rFonts w:hint="eastAsia" w:ascii="仿宋_GB2312" w:hAnsi="仿宋_GB2312" w:eastAsia="仿宋_GB2312" w:cs="仿宋_GB2312"/>
                <w:b w:val="0"/>
                <w:bCs/>
                <w:spacing w:val="-1"/>
                <w:sz w:val="24"/>
                <w:szCs w:val="24"/>
              </w:rPr>
              <w:t>行为</w:t>
            </w:r>
            <w:r>
              <w:rPr>
                <w:rFonts w:hint="eastAsia" w:ascii="仿宋_GB2312" w:hAnsi="仿宋_GB2312" w:eastAsia="仿宋_GB2312" w:cs="仿宋_GB2312"/>
                <w:b w:val="0"/>
                <w:bCs/>
                <w:spacing w:val="-1"/>
                <w:sz w:val="24"/>
                <w:szCs w:val="24"/>
                <w:lang w:val="en-US"/>
              </w:rPr>
              <w:t>的</w:t>
            </w:r>
            <w:r>
              <w:rPr>
                <w:rFonts w:hint="eastAsia" w:ascii="仿宋_GB2312" w:hAnsi="仿宋_GB2312" w:eastAsia="仿宋_GB2312" w:cs="仿宋_GB2312"/>
                <w:b w:val="0"/>
                <w:bCs/>
                <w:spacing w:val="-1"/>
                <w:sz w:val="24"/>
                <w:szCs w:val="24"/>
              </w:rPr>
              <w:t>不可否认性</w:t>
            </w:r>
            <w:r>
              <w:rPr>
                <w:rFonts w:hint="eastAsia" w:ascii="仿宋_GB2312" w:hAnsi="仿宋_GB2312" w:eastAsia="仿宋_GB2312" w:cs="仿宋_GB2312"/>
                <w:b w:val="0"/>
                <w:bCs/>
                <w:sz w:val="24"/>
                <w:szCs w:val="24"/>
              </w:rPr>
              <w:t>。</w:t>
            </w:r>
          </w:p>
        </w:tc>
      </w:tr>
    </w:tbl>
    <w:p w14:paraId="60E05A0B">
      <w:pPr>
        <w:spacing w:line="240" w:lineRule="auto"/>
        <w:ind w:left="0" w:leftChars="0" w:firstLine="0" w:firstLineChars="0"/>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shd w:val="clear" w:color="auto" w:fill="FFFFFF"/>
          <w:lang w:val="en-US" w:eastAsia="zh-CN"/>
        </w:rPr>
        <w:t>6.1.1.</w:t>
      </w:r>
      <w:r>
        <w:rPr>
          <w:rFonts w:hint="eastAsia" w:ascii="仿宋_GB2312" w:hAnsi="仿宋_GB2312" w:eastAsia="仿宋_GB2312" w:cs="仿宋_GB2312"/>
          <w:b w:val="0"/>
          <w:bCs/>
          <w:sz w:val="24"/>
          <w:szCs w:val="24"/>
          <w:shd w:val="clear" w:color="auto" w:fill="FFFFFF"/>
        </w:rPr>
        <w:t>3安全管理评估</w:t>
      </w:r>
    </w:p>
    <w:p w14:paraId="06E874CB">
      <w:pPr>
        <w:spacing w:line="240" w:lineRule="auto"/>
        <w:ind w:left="0" w:leftChars="0" w:firstLine="0" w:firstLineChars="0"/>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shd w:val="clear" w:color="auto" w:fill="FFFFFF"/>
        </w:rPr>
        <w:t>安全管理评估是对影响商用密码防护效能的管理制度与措施进行分析与评估。主要内容包括：管理制度，人员管理，建设运行，应急处置。具体要求如下：</w:t>
      </w:r>
    </w:p>
    <w:tbl>
      <w:tblPr>
        <w:tblStyle w:val="7"/>
        <w:tblW w:w="9022" w:type="dxa"/>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13"/>
        <w:gridCol w:w="6709"/>
      </w:tblGrid>
      <w:tr w14:paraId="6881A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13"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5F717804">
            <w:pPr>
              <w:pStyle w:val="16"/>
              <w:spacing w:line="240" w:lineRule="auto"/>
              <w:ind w:left="0" w:leftChars="0" w:firstLine="0" w:firstLineChars="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rPr>
              <w:t>评估</w:t>
            </w:r>
            <w:r>
              <w:rPr>
                <w:rFonts w:hint="eastAsia" w:ascii="仿宋_GB2312" w:hAnsi="仿宋_GB2312" w:eastAsia="仿宋_GB2312" w:cs="仿宋_GB2312"/>
                <w:b w:val="0"/>
                <w:bCs/>
                <w:sz w:val="24"/>
                <w:szCs w:val="24"/>
              </w:rPr>
              <w:t>内容</w:t>
            </w:r>
          </w:p>
        </w:tc>
        <w:tc>
          <w:tcPr>
            <w:tcW w:w="6709"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5F3E3AF4">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具体要求</w:t>
            </w:r>
          </w:p>
        </w:tc>
      </w:tr>
      <w:tr w14:paraId="2CF91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10F7B840">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管理制度</w:t>
            </w:r>
            <w:r>
              <w:rPr>
                <w:rFonts w:hint="eastAsia" w:ascii="仿宋_GB2312" w:hAnsi="仿宋_GB2312" w:eastAsia="仿宋_GB2312" w:cs="仿宋_GB2312"/>
                <w:b w:val="0"/>
                <w:bCs/>
                <w:sz w:val="24"/>
                <w:szCs w:val="24"/>
                <w:lang w:val="en-US"/>
              </w:rPr>
              <w:t>评估</w:t>
            </w:r>
          </w:p>
        </w:tc>
        <w:tc>
          <w:tcPr>
            <w:tcW w:w="6709" w:type="dxa"/>
            <w:tcBorders>
              <w:top w:val="single" w:color="000000" w:sz="6" w:space="0"/>
              <w:left w:val="single" w:color="000000" w:sz="6" w:space="0"/>
              <w:bottom w:val="single" w:color="000000" w:sz="6" w:space="0"/>
              <w:right w:val="single" w:color="000000" w:sz="6" w:space="0"/>
            </w:tcBorders>
            <w:noWrap w:val="0"/>
            <w:vAlign w:val="top"/>
          </w:tcPr>
          <w:p w14:paraId="5DDBE47F">
            <w:pPr>
              <w:pStyle w:val="16"/>
              <w:spacing w:line="240" w:lineRule="auto"/>
              <w:ind w:left="0" w:leftChars="0" w:firstLine="0" w:firstLineChars="0"/>
              <w:jc w:val="left"/>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包括但不限于下列内容与措施：</w:t>
            </w:r>
            <w:r>
              <w:rPr>
                <w:rFonts w:hint="eastAsia" w:ascii="仿宋_GB2312" w:hAnsi="仿宋_GB2312" w:eastAsia="仿宋_GB2312" w:cs="仿宋_GB2312"/>
                <w:b w:val="0"/>
                <w:bCs/>
                <w:sz w:val="24"/>
                <w:szCs w:val="24"/>
                <w:lang w:val="en-US"/>
              </w:rPr>
              <w:t>密码应用安全管理制度</w:t>
            </w:r>
            <w:r>
              <w:rPr>
                <w:rFonts w:hint="eastAsia" w:ascii="仿宋_GB2312" w:hAnsi="仿宋_GB2312" w:eastAsia="仿宋_GB2312" w:cs="仿宋_GB2312"/>
                <w:b w:val="0"/>
                <w:bCs/>
                <w:sz w:val="24"/>
                <w:szCs w:val="24"/>
              </w:rPr>
              <w:t>，</w:t>
            </w:r>
            <w:r>
              <w:rPr>
                <w:rFonts w:hint="eastAsia" w:ascii="仿宋_GB2312" w:hAnsi="仿宋_GB2312" w:eastAsia="仿宋_GB2312" w:cs="仿宋_GB2312"/>
                <w:b w:val="0"/>
                <w:bCs/>
                <w:sz w:val="24"/>
                <w:szCs w:val="24"/>
                <w:lang w:val="en-US"/>
              </w:rPr>
              <w:t>密钥管理规则、</w:t>
            </w:r>
            <w:r>
              <w:rPr>
                <w:rFonts w:hint="eastAsia" w:ascii="仿宋_GB2312" w:hAnsi="仿宋_GB2312" w:eastAsia="仿宋_GB2312" w:cs="仿宋_GB2312"/>
                <w:b w:val="0"/>
                <w:bCs/>
                <w:sz w:val="24"/>
                <w:szCs w:val="24"/>
              </w:rPr>
              <w:t>密码相关操作规范，安全管理制度</w:t>
            </w:r>
            <w:r>
              <w:rPr>
                <w:rFonts w:hint="eastAsia" w:ascii="仿宋_GB2312" w:hAnsi="仿宋_GB2312" w:eastAsia="仿宋_GB2312" w:cs="仿宋_GB2312"/>
                <w:b w:val="0"/>
                <w:bCs/>
                <w:sz w:val="24"/>
                <w:szCs w:val="24"/>
                <w:lang w:val="en-US"/>
              </w:rPr>
              <w:t>和操作规范</w:t>
            </w:r>
            <w:r>
              <w:rPr>
                <w:rFonts w:hint="eastAsia" w:ascii="仿宋_GB2312" w:hAnsi="仿宋_GB2312" w:eastAsia="仿宋_GB2312" w:cs="仿宋_GB2312"/>
                <w:b w:val="0"/>
                <w:bCs/>
                <w:sz w:val="24"/>
                <w:szCs w:val="24"/>
              </w:rPr>
              <w:t>的合理性和适用性论证与审定，安全管理制度的改进和修订，安全管理制度</w:t>
            </w:r>
            <w:r>
              <w:rPr>
                <w:rFonts w:hint="eastAsia" w:ascii="仿宋_GB2312" w:hAnsi="仿宋_GB2312" w:eastAsia="仿宋_GB2312" w:cs="仿宋_GB2312"/>
                <w:b w:val="0"/>
                <w:bCs/>
                <w:sz w:val="24"/>
                <w:szCs w:val="24"/>
                <w:lang w:val="en-US"/>
              </w:rPr>
              <w:t>和操作规范</w:t>
            </w:r>
            <w:r>
              <w:rPr>
                <w:rFonts w:hint="eastAsia" w:ascii="仿宋_GB2312" w:hAnsi="仿宋_GB2312" w:eastAsia="仿宋_GB2312" w:cs="仿宋_GB2312"/>
                <w:b w:val="0"/>
                <w:bCs/>
                <w:sz w:val="24"/>
                <w:szCs w:val="24"/>
              </w:rPr>
              <w:t>的发布</w:t>
            </w:r>
            <w:r>
              <w:rPr>
                <w:rFonts w:hint="eastAsia" w:ascii="仿宋_GB2312" w:hAnsi="仿宋_GB2312" w:eastAsia="仿宋_GB2312" w:cs="仿宋_GB2312"/>
                <w:b w:val="0"/>
                <w:bCs/>
                <w:sz w:val="24"/>
                <w:szCs w:val="24"/>
                <w:lang w:val="en-US"/>
              </w:rPr>
              <w:t>流程</w:t>
            </w:r>
            <w:r>
              <w:rPr>
                <w:rFonts w:hint="eastAsia" w:ascii="仿宋_GB2312" w:hAnsi="仿宋_GB2312" w:eastAsia="仿宋_GB2312" w:cs="仿宋_GB2312"/>
                <w:b w:val="0"/>
                <w:bCs/>
                <w:sz w:val="24"/>
                <w:szCs w:val="24"/>
              </w:rPr>
              <w:t>，安全管理制度</w:t>
            </w:r>
            <w:r>
              <w:rPr>
                <w:rFonts w:hint="eastAsia" w:ascii="仿宋_GB2312" w:hAnsi="仿宋_GB2312" w:eastAsia="仿宋_GB2312" w:cs="仿宋_GB2312"/>
                <w:b w:val="0"/>
                <w:bCs/>
                <w:sz w:val="24"/>
                <w:szCs w:val="24"/>
                <w:lang w:val="en-US"/>
              </w:rPr>
              <w:t>和操作规范</w:t>
            </w:r>
            <w:r>
              <w:rPr>
                <w:rFonts w:hint="eastAsia" w:ascii="仿宋_GB2312" w:hAnsi="仿宋_GB2312" w:eastAsia="仿宋_GB2312" w:cs="仿宋_GB2312"/>
                <w:b w:val="0"/>
                <w:bCs/>
                <w:sz w:val="24"/>
                <w:szCs w:val="24"/>
              </w:rPr>
              <w:t>的执行。</w:t>
            </w:r>
          </w:p>
        </w:tc>
      </w:tr>
      <w:tr w14:paraId="2386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8"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55176C18">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人员</w:t>
            </w:r>
            <w:r>
              <w:rPr>
                <w:rFonts w:hint="eastAsia" w:ascii="仿宋_GB2312" w:hAnsi="仿宋_GB2312" w:eastAsia="仿宋_GB2312" w:cs="仿宋_GB2312"/>
                <w:b w:val="0"/>
                <w:bCs/>
                <w:sz w:val="24"/>
                <w:szCs w:val="24"/>
                <w:lang w:val="en-US"/>
              </w:rPr>
              <w:t>管理评估</w:t>
            </w:r>
          </w:p>
        </w:tc>
        <w:tc>
          <w:tcPr>
            <w:tcW w:w="6709" w:type="dxa"/>
            <w:tcBorders>
              <w:top w:val="single" w:color="000000" w:sz="6" w:space="0"/>
              <w:left w:val="single" w:color="000000" w:sz="6" w:space="0"/>
              <w:bottom w:val="single" w:color="000000" w:sz="6" w:space="0"/>
              <w:right w:val="single" w:color="000000" w:sz="6" w:space="0"/>
            </w:tcBorders>
            <w:noWrap w:val="0"/>
            <w:vAlign w:val="top"/>
          </w:tcPr>
          <w:p w14:paraId="12DE4E64">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包括但不限于下列内容与措施：</w:t>
            </w:r>
            <w:r>
              <w:rPr>
                <w:rFonts w:hint="eastAsia" w:ascii="仿宋_GB2312" w:hAnsi="仿宋_GB2312" w:eastAsia="仿宋_GB2312" w:cs="仿宋_GB2312"/>
                <w:b w:val="0"/>
                <w:bCs/>
                <w:sz w:val="24"/>
                <w:szCs w:val="24"/>
                <w:lang w:val="en-US"/>
              </w:rPr>
              <w:t>相关人员是否</w:t>
            </w:r>
            <w:r>
              <w:rPr>
                <w:rFonts w:hint="eastAsia" w:ascii="仿宋_GB2312" w:hAnsi="仿宋_GB2312" w:eastAsia="仿宋_GB2312" w:cs="仿宋_GB2312"/>
                <w:b w:val="0"/>
                <w:bCs/>
                <w:sz w:val="24"/>
                <w:szCs w:val="24"/>
              </w:rPr>
              <w:t>了解并遵守密码相关法律法规</w:t>
            </w:r>
            <w:r>
              <w:rPr>
                <w:rFonts w:hint="eastAsia" w:ascii="仿宋_GB2312" w:hAnsi="仿宋_GB2312" w:eastAsia="仿宋_GB2312" w:cs="仿宋_GB2312"/>
                <w:b w:val="0"/>
                <w:bCs/>
                <w:sz w:val="24"/>
                <w:szCs w:val="24"/>
                <w:lang w:val="en-US"/>
              </w:rPr>
              <w:t>及安全管理制度</w:t>
            </w:r>
            <w:r>
              <w:rPr>
                <w:rFonts w:hint="eastAsia" w:ascii="仿宋_GB2312" w:hAnsi="仿宋_GB2312" w:eastAsia="仿宋_GB2312" w:cs="仿宋_GB2312"/>
                <w:b w:val="0"/>
                <w:bCs/>
                <w:sz w:val="24"/>
                <w:szCs w:val="24"/>
              </w:rPr>
              <w:t>，关键岗位划分</w:t>
            </w:r>
            <w:r>
              <w:rPr>
                <w:rFonts w:hint="eastAsia" w:ascii="仿宋_GB2312" w:hAnsi="仿宋_GB2312" w:eastAsia="仿宋_GB2312" w:cs="仿宋_GB2312"/>
                <w:b w:val="0"/>
                <w:bCs/>
                <w:sz w:val="24"/>
                <w:szCs w:val="24"/>
                <w:lang w:val="en-US"/>
              </w:rPr>
              <w:t>情况</w:t>
            </w:r>
            <w:r>
              <w:rPr>
                <w:rFonts w:hint="eastAsia" w:ascii="仿宋_GB2312" w:hAnsi="仿宋_GB2312" w:eastAsia="仿宋_GB2312" w:cs="仿宋_GB2312"/>
                <w:b w:val="0"/>
                <w:bCs/>
                <w:sz w:val="24"/>
                <w:szCs w:val="24"/>
              </w:rPr>
              <w:t>，相关人员职责与权限划分</w:t>
            </w:r>
            <w:r>
              <w:rPr>
                <w:rFonts w:hint="eastAsia" w:ascii="仿宋_GB2312" w:hAnsi="仿宋_GB2312" w:eastAsia="仿宋_GB2312" w:cs="仿宋_GB2312"/>
                <w:b w:val="0"/>
                <w:bCs/>
                <w:sz w:val="24"/>
                <w:szCs w:val="24"/>
                <w:lang w:val="en-US"/>
              </w:rPr>
              <w:t>情况</w:t>
            </w:r>
            <w:r>
              <w:rPr>
                <w:rFonts w:hint="eastAsia" w:ascii="仿宋_GB2312" w:hAnsi="仿宋_GB2312" w:eastAsia="仿宋_GB2312" w:cs="仿宋_GB2312"/>
                <w:b w:val="0"/>
                <w:bCs/>
                <w:sz w:val="24"/>
                <w:szCs w:val="24"/>
              </w:rPr>
              <w:t>，岗位责任制与人员制约、监督机制，管理和使用账号，人员培训、人员选拔，人员考核、奖惩与调离，人员保密措施。</w:t>
            </w:r>
          </w:p>
        </w:tc>
      </w:tr>
      <w:tr w14:paraId="6EEDB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7"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669F74B3">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rPr>
              <w:t>建设运行评估</w:t>
            </w:r>
          </w:p>
        </w:tc>
        <w:tc>
          <w:tcPr>
            <w:tcW w:w="6709" w:type="dxa"/>
            <w:tcBorders>
              <w:top w:val="single" w:color="000000" w:sz="6" w:space="0"/>
              <w:left w:val="single" w:color="000000" w:sz="6" w:space="0"/>
              <w:bottom w:val="single" w:color="000000" w:sz="6" w:space="0"/>
              <w:right w:val="single" w:color="000000" w:sz="6" w:space="0"/>
            </w:tcBorders>
            <w:noWrap w:val="0"/>
            <w:vAlign w:val="top"/>
          </w:tcPr>
          <w:p w14:paraId="59C7BC37">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包括但不限于下列内容与措施：</w:t>
            </w:r>
            <w:r>
              <w:rPr>
                <w:rFonts w:hint="eastAsia" w:ascii="仿宋_GB2312" w:hAnsi="仿宋_GB2312" w:eastAsia="仿宋_GB2312" w:cs="仿宋_GB2312"/>
                <w:b w:val="0"/>
                <w:bCs/>
                <w:sz w:val="24"/>
                <w:szCs w:val="24"/>
                <w:lang w:val="en-US"/>
              </w:rPr>
              <w:t>具备</w:t>
            </w:r>
            <w:r>
              <w:rPr>
                <w:rFonts w:hint="eastAsia" w:ascii="仿宋_GB2312" w:hAnsi="仿宋_GB2312" w:eastAsia="仿宋_GB2312" w:cs="仿宋_GB2312"/>
                <w:b w:val="0"/>
                <w:bCs/>
                <w:sz w:val="24"/>
                <w:szCs w:val="24"/>
              </w:rPr>
              <w:t>系统</w:t>
            </w:r>
            <w:r>
              <w:rPr>
                <w:rFonts w:hint="eastAsia" w:ascii="仿宋_GB2312" w:hAnsi="仿宋_GB2312" w:eastAsia="仿宋_GB2312" w:cs="仿宋_GB2312"/>
                <w:b w:val="0"/>
                <w:bCs/>
                <w:sz w:val="24"/>
                <w:szCs w:val="24"/>
                <w:lang w:val="en-US"/>
              </w:rPr>
              <w:t>密码应用</w:t>
            </w:r>
            <w:r>
              <w:rPr>
                <w:rFonts w:hint="eastAsia" w:ascii="仿宋_GB2312" w:hAnsi="仿宋_GB2312" w:eastAsia="仿宋_GB2312" w:cs="仿宋_GB2312"/>
                <w:b w:val="0"/>
                <w:bCs/>
                <w:sz w:val="24"/>
                <w:szCs w:val="24"/>
              </w:rPr>
              <w:t>方案，</w:t>
            </w:r>
            <w:r>
              <w:rPr>
                <w:rFonts w:hint="eastAsia" w:ascii="仿宋_GB2312" w:hAnsi="仿宋_GB2312" w:eastAsia="仿宋_GB2312" w:cs="仿宋_GB2312"/>
                <w:b w:val="0"/>
                <w:bCs/>
                <w:sz w:val="24"/>
                <w:szCs w:val="24"/>
                <w:lang w:val="en-US"/>
              </w:rPr>
              <w:t>并按照密码应用方案确定密钥种类、体系以及生存周期，按照密码应用方案实施建设，</w:t>
            </w:r>
            <w:r>
              <w:rPr>
                <w:rFonts w:hint="eastAsia" w:ascii="仿宋_GB2312" w:hAnsi="仿宋_GB2312" w:eastAsia="仿宋_GB2312" w:cs="仿宋_GB2312"/>
                <w:b w:val="0"/>
                <w:bCs/>
                <w:sz w:val="24"/>
                <w:szCs w:val="24"/>
              </w:rPr>
              <w:t>信息系统</w:t>
            </w:r>
            <w:r>
              <w:rPr>
                <w:rFonts w:hint="eastAsia" w:ascii="仿宋_GB2312" w:hAnsi="仿宋_GB2312" w:eastAsia="仿宋_GB2312" w:cs="仿宋_GB2312"/>
                <w:b w:val="0"/>
                <w:bCs/>
                <w:sz w:val="24"/>
                <w:szCs w:val="24"/>
                <w:lang w:val="en-US"/>
              </w:rPr>
              <w:t>正式</w:t>
            </w:r>
            <w:r>
              <w:rPr>
                <w:rFonts w:hint="eastAsia" w:ascii="仿宋_GB2312" w:hAnsi="仿宋_GB2312" w:eastAsia="仿宋_GB2312" w:cs="仿宋_GB2312"/>
                <w:b w:val="0"/>
                <w:bCs/>
                <w:sz w:val="24"/>
                <w:szCs w:val="24"/>
              </w:rPr>
              <w:t>运行前评估</w:t>
            </w:r>
            <w:r>
              <w:rPr>
                <w:rFonts w:hint="eastAsia" w:ascii="仿宋_GB2312" w:hAnsi="仿宋_GB2312" w:eastAsia="仿宋_GB2312" w:cs="仿宋_GB2312"/>
                <w:b w:val="0"/>
                <w:bCs/>
                <w:sz w:val="24"/>
                <w:szCs w:val="24"/>
                <w:lang w:val="en-US"/>
              </w:rPr>
              <w:t>与</w:t>
            </w:r>
            <w:r>
              <w:rPr>
                <w:rFonts w:hint="eastAsia" w:ascii="仿宋_GB2312" w:hAnsi="仿宋_GB2312" w:eastAsia="仿宋_GB2312" w:cs="仿宋_GB2312"/>
                <w:b w:val="0"/>
                <w:bCs/>
                <w:sz w:val="24"/>
                <w:szCs w:val="24"/>
              </w:rPr>
              <w:t>整改。</w:t>
            </w:r>
          </w:p>
        </w:tc>
      </w:tr>
      <w:tr w14:paraId="39D3E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8" w:hRule="atLeast"/>
        </w:trPr>
        <w:tc>
          <w:tcPr>
            <w:tcW w:w="2313" w:type="dxa"/>
            <w:tcBorders>
              <w:top w:val="single" w:color="000000" w:sz="6" w:space="0"/>
              <w:left w:val="single" w:color="000000" w:sz="6" w:space="0"/>
              <w:bottom w:val="single" w:color="000000" w:sz="6" w:space="0"/>
              <w:right w:val="single" w:color="000000" w:sz="6" w:space="0"/>
            </w:tcBorders>
            <w:noWrap w:val="0"/>
            <w:vAlign w:val="center"/>
          </w:tcPr>
          <w:p w14:paraId="1052C891">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应急</w:t>
            </w:r>
            <w:r>
              <w:rPr>
                <w:rFonts w:hint="eastAsia" w:ascii="仿宋_GB2312" w:hAnsi="仿宋_GB2312" w:eastAsia="仿宋_GB2312" w:cs="仿宋_GB2312"/>
                <w:b w:val="0"/>
                <w:bCs/>
                <w:sz w:val="24"/>
                <w:szCs w:val="24"/>
                <w:lang w:val="en-US"/>
              </w:rPr>
              <w:t>处置评估</w:t>
            </w:r>
          </w:p>
        </w:tc>
        <w:tc>
          <w:tcPr>
            <w:tcW w:w="6709" w:type="dxa"/>
            <w:tcBorders>
              <w:top w:val="single" w:color="000000" w:sz="6" w:space="0"/>
              <w:left w:val="single" w:color="000000" w:sz="6" w:space="0"/>
              <w:bottom w:val="single" w:color="000000" w:sz="6" w:space="0"/>
              <w:right w:val="single" w:color="000000" w:sz="6" w:space="0"/>
            </w:tcBorders>
            <w:noWrap w:val="0"/>
            <w:vAlign w:val="top"/>
          </w:tcPr>
          <w:p w14:paraId="7EDDEAEC">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包括但不限于下列内容与措施：应急预案，应急资源准备，应急情况与处置，上级主管部门应急报告，同级密码主管部门应急报告。</w:t>
            </w:r>
          </w:p>
        </w:tc>
      </w:tr>
    </w:tbl>
    <w:p w14:paraId="66B5331F">
      <w:pPr>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shd w:val="clear" w:color="auto" w:fill="FFFFFF"/>
          <w:lang w:val="en-US" w:eastAsia="zh-CN"/>
        </w:rPr>
        <w:t>6.1.1.</w:t>
      </w:r>
      <w:r>
        <w:rPr>
          <w:rFonts w:hint="eastAsia" w:ascii="仿宋_GB2312" w:hAnsi="仿宋_GB2312" w:eastAsia="仿宋_GB2312" w:cs="仿宋_GB2312"/>
          <w:b w:val="0"/>
          <w:bCs/>
          <w:sz w:val="24"/>
          <w:szCs w:val="24"/>
        </w:rPr>
        <w:t>4密钥管理评估</w:t>
      </w:r>
    </w:p>
    <w:p w14:paraId="5DE99B1F">
      <w:pPr>
        <w:spacing w:line="240" w:lineRule="auto"/>
        <w:ind w:left="0" w:leftChars="0" w:firstLine="0" w:firstLineChars="0"/>
        <w:rPr>
          <w:rFonts w:hint="eastAsia" w:ascii="仿宋_GB2312" w:hAnsi="仿宋_GB2312" w:eastAsia="仿宋_GB2312" w:cs="仿宋_GB2312"/>
          <w:b w:val="0"/>
          <w:bCs/>
          <w:sz w:val="24"/>
          <w:szCs w:val="24"/>
          <w:shd w:val="clear" w:color="auto" w:fill="FFFFFF"/>
        </w:rPr>
      </w:pPr>
      <w:r>
        <w:rPr>
          <w:rFonts w:hint="eastAsia" w:ascii="仿宋_GB2312" w:hAnsi="仿宋_GB2312" w:eastAsia="仿宋_GB2312" w:cs="仿宋_GB2312"/>
          <w:b w:val="0"/>
          <w:bCs/>
          <w:sz w:val="24"/>
          <w:szCs w:val="24"/>
        </w:rPr>
        <w:t>测评</w:t>
      </w:r>
      <w:r>
        <w:rPr>
          <w:rFonts w:hint="eastAsia" w:ascii="仿宋_GB2312" w:hAnsi="仿宋_GB2312" w:eastAsia="仿宋_GB2312" w:cs="仿宋_GB2312"/>
          <w:b w:val="0"/>
          <w:bCs/>
          <w:sz w:val="24"/>
          <w:szCs w:val="24"/>
          <w:shd w:val="clear" w:color="auto" w:fill="FFFFFF"/>
        </w:rPr>
        <w:t>密钥管理评估是对影响商用密码防护效能的密钥生命周期相关环节，以及相关环节管理和策略制定的全过程进行分析与评估。密钥生命周期相关环节主要包括：密钥生成、密钥分发、密钥存储、密钥使用、密钥更新、密钥归档、密钥撤档、密钥备份，密钥恢复、密钥销毁。</w:t>
      </w:r>
    </w:p>
    <w:p w14:paraId="2719F3D0">
      <w:pPr>
        <w:pStyle w:val="3"/>
        <w:tabs>
          <w:tab w:val="left" w:pos="360"/>
          <w:tab w:val="left" w:pos="574"/>
        </w:tabs>
        <w:spacing w:before="135" w:after="157" w:afterLines="50" w:line="240" w:lineRule="auto"/>
        <w:ind w:left="0" w:leftChars="0" w:firstLine="0" w:firstLineChars="0"/>
        <w:jc w:val="both"/>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6.2、技术要求</w:t>
      </w:r>
    </w:p>
    <w:p w14:paraId="4F76EE8D">
      <w:pPr>
        <w:pStyle w:val="3"/>
        <w:tabs>
          <w:tab w:val="left" w:pos="360"/>
          <w:tab w:val="left" w:pos="574"/>
        </w:tabs>
        <w:spacing w:before="135" w:after="157" w:afterLines="50" w:line="240" w:lineRule="auto"/>
        <w:ind w:left="0" w:leftChars="0" w:firstLine="0" w:firstLineChars="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6.2.1、</w:t>
      </w:r>
      <w:r>
        <w:rPr>
          <w:rFonts w:hint="eastAsia" w:ascii="仿宋_GB2312" w:hAnsi="仿宋_GB2312" w:eastAsia="仿宋_GB2312" w:cs="仿宋_GB2312"/>
          <w:b w:val="0"/>
          <w:bCs/>
          <w:sz w:val="24"/>
          <w:szCs w:val="24"/>
        </w:rPr>
        <w:t>标准和规范</w:t>
      </w:r>
    </w:p>
    <w:p w14:paraId="2A00597B">
      <w:p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本项目实施方案设计与具体实施必须满足</w:t>
      </w:r>
      <w:r>
        <w:rPr>
          <w:rFonts w:hint="eastAsia" w:ascii="仿宋_GB2312" w:hAnsi="仿宋_GB2312" w:eastAsia="仿宋_GB2312" w:cs="仿宋_GB2312"/>
          <w:b w:val="0"/>
          <w:bCs/>
          <w:sz w:val="24"/>
          <w:szCs w:val="24"/>
          <w:lang w:val="en-US" w:eastAsia="zh-CN"/>
        </w:rPr>
        <w:t>国家及行业相关等级保护测准及商用密码应用安全性评估标准、规范并遵守</w:t>
      </w:r>
      <w:r>
        <w:rPr>
          <w:rFonts w:hint="eastAsia" w:ascii="仿宋_GB2312" w:hAnsi="仿宋_GB2312" w:eastAsia="仿宋_GB2312" w:cs="仿宋_GB2312"/>
          <w:b w:val="0"/>
          <w:bCs/>
          <w:sz w:val="24"/>
          <w:szCs w:val="24"/>
          <w:lang w:eastAsia="zh-CN"/>
        </w:rPr>
        <w:t>以下原则：</w:t>
      </w:r>
    </w:p>
    <w:p w14:paraId="598193D5">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保密原则：对</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过程数据和结果数据严格保密，未经授权不得泄露给任何单位和个人，不得利用此数据进行任何侵害招标方的行为。</w:t>
      </w:r>
    </w:p>
    <w:p w14:paraId="51D86507">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标准性原则：</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方案的设计与实施应依据国家信息系统安全等级保护</w:t>
      </w:r>
      <w:r>
        <w:rPr>
          <w:rFonts w:hint="eastAsia" w:ascii="仿宋_GB2312" w:hAnsi="仿宋_GB2312" w:eastAsia="仿宋_GB2312" w:cs="仿宋_GB2312"/>
          <w:b w:val="0"/>
          <w:bCs/>
          <w:sz w:val="24"/>
          <w:szCs w:val="24"/>
          <w:lang w:val="en-US" w:eastAsia="zh-CN"/>
        </w:rPr>
        <w:t>\</w:t>
      </w:r>
      <w:r>
        <w:rPr>
          <w:rFonts w:hint="eastAsia" w:ascii="仿宋_GB2312" w:hAnsi="仿宋_GB2312" w:eastAsia="仿宋_GB2312" w:cs="仿宋_GB2312"/>
          <w:b w:val="0"/>
          <w:bCs/>
          <w:sz w:val="24"/>
          <w:szCs w:val="24"/>
          <w:lang w:eastAsia="zh-CN"/>
        </w:rPr>
        <w:t>的相关标准进行。</w:t>
      </w:r>
    </w:p>
    <w:p w14:paraId="2CCBE9B8">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规范性原则：投标方的工作中的过程和文档，具有很好的规范性，可以便于项目的跟踪和控制。</w:t>
      </w:r>
    </w:p>
    <w:p w14:paraId="41761388">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可控性原则：项目安排工作进度要跟上进度表的安排，保证工作的可控性。</w:t>
      </w:r>
    </w:p>
    <w:p w14:paraId="2F8F90A7">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最小影响原则：</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工作应尽可能小的影响系统和网络，并在可控范围内；测评工作不能对现有信息系统的正常运行、业务的正常开展产生任何影响。</w:t>
      </w:r>
    </w:p>
    <w:p w14:paraId="53AA39FB">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整体性原则：</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的范围和内容应当整体全面，包括国家等级保护相关要求涉及的各个层面。</w:t>
      </w:r>
    </w:p>
    <w:p w14:paraId="6B8B37AF">
      <w:pPr>
        <w:pStyle w:val="14"/>
        <w:numPr>
          <w:ilvl w:val="0"/>
          <w:numId w:val="0"/>
        </w:numPr>
        <w:tabs>
          <w:tab w:val="left" w:pos="574"/>
        </w:tabs>
        <w:spacing w:before="1"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6.2.2</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实施方案</w:t>
      </w:r>
      <w:r>
        <w:rPr>
          <w:rFonts w:hint="eastAsia" w:ascii="仿宋_GB2312" w:hAnsi="仿宋_GB2312" w:eastAsia="仿宋_GB2312" w:cs="仿宋_GB2312"/>
          <w:b w:val="0"/>
          <w:bCs/>
          <w:sz w:val="24"/>
          <w:szCs w:val="24"/>
        </w:rPr>
        <w:t>要求</w:t>
      </w:r>
    </w:p>
    <w:p w14:paraId="32874E27">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投标人应详细描述本次</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lang w:eastAsia="zh-CN"/>
        </w:rPr>
        <w:t>的整体实施方案，包括项目时间安排、阶段性文档提交等。</w:t>
      </w:r>
    </w:p>
    <w:p w14:paraId="6E191819">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投标人应详细描述评</w:t>
      </w:r>
      <w:r>
        <w:rPr>
          <w:rFonts w:hint="eastAsia" w:ascii="仿宋_GB2312" w:hAnsi="仿宋_GB2312" w:eastAsia="仿宋_GB2312" w:cs="仿宋_GB2312"/>
          <w:b w:val="0"/>
          <w:bCs/>
          <w:sz w:val="24"/>
          <w:szCs w:val="24"/>
          <w:lang w:val="en-US" w:eastAsia="zh-CN"/>
        </w:rPr>
        <w:t>估</w:t>
      </w:r>
      <w:r>
        <w:rPr>
          <w:rFonts w:hint="eastAsia" w:ascii="仿宋_GB2312" w:hAnsi="仿宋_GB2312" w:eastAsia="仿宋_GB2312" w:cs="仿宋_GB2312"/>
          <w:b w:val="0"/>
          <w:bCs/>
          <w:sz w:val="24"/>
          <w:szCs w:val="24"/>
          <w:lang w:eastAsia="zh-CN"/>
        </w:rPr>
        <w:t>人员的组成、资质。</w:t>
      </w:r>
    </w:p>
    <w:p w14:paraId="6F2217B8">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color w:val="333333"/>
          <w:sz w:val="24"/>
          <w:szCs w:val="24"/>
          <w:lang w:eastAsia="zh-CN"/>
        </w:rPr>
        <w:t>评</w:t>
      </w:r>
      <w:r>
        <w:rPr>
          <w:rFonts w:hint="eastAsia" w:ascii="仿宋_GB2312" w:hAnsi="仿宋_GB2312" w:eastAsia="仿宋_GB2312" w:cs="仿宋_GB2312"/>
          <w:b w:val="0"/>
          <w:bCs/>
          <w:color w:val="333333"/>
          <w:sz w:val="24"/>
          <w:szCs w:val="24"/>
          <w:lang w:val="en-US" w:eastAsia="zh-CN"/>
        </w:rPr>
        <w:t>估</w:t>
      </w:r>
      <w:r>
        <w:rPr>
          <w:rFonts w:hint="eastAsia" w:ascii="仿宋_GB2312" w:hAnsi="仿宋_GB2312" w:eastAsia="仿宋_GB2312" w:cs="仿宋_GB2312"/>
          <w:b w:val="0"/>
          <w:bCs/>
          <w:color w:val="333333"/>
          <w:sz w:val="24"/>
          <w:szCs w:val="24"/>
          <w:lang w:eastAsia="zh-CN"/>
        </w:rPr>
        <w:t>人员不少于4人</w:t>
      </w:r>
      <w:r>
        <w:rPr>
          <w:rFonts w:hint="eastAsia" w:ascii="仿宋_GB2312" w:hAnsi="仿宋_GB2312" w:eastAsia="仿宋_GB2312" w:cs="仿宋_GB2312"/>
          <w:b w:val="0"/>
          <w:bCs/>
          <w:sz w:val="24"/>
          <w:szCs w:val="24"/>
          <w:lang w:eastAsia="zh-CN"/>
        </w:rPr>
        <w:t>。</w:t>
      </w:r>
    </w:p>
    <w:p w14:paraId="701126ED">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信息系统</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lang w:eastAsia="zh-CN"/>
        </w:rPr>
        <w:t>需要的运行环境（如场地、网络环境等）由招标人提供，投标人应详细描述需要的运行环境的具体要求。</w:t>
      </w:r>
    </w:p>
    <w:p w14:paraId="46185E14">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w:t>
      </w:r>
      <w:r>
        <w:rPr>
          <w:rFonts w:hint="eastAsia" w:ascii="仿宋_GB2312" w:hAnsi="仿宋_GB2312" w:eastAsia="仿宋_GB2312" w:cs="仿宋_GB2312"/>
          <w:b w:val="0"/>
          <w:bCs/>
          <w:sz w:val="24"/>
          <w:szCs w:val="24"/>
          <w:lang w:val="en-US" w:eastAsia="zh-CN"/>
        </w:rPr>
        <w:t>应承诺商用密码应用安全性评估</w:t>
      </w:r>
      <w:r>
        <w:rPr>
          <w:rFonts w:hint="eastAsia" w:ascii="仿宋_GB2312" w:hAnsi="仿宋_GB2312" w:eastAsia="仿宋_GB2312" w:cs="仿宋_GB2312"/>
          <w:b w:val="0"/>
          <w:bCs/>
          <w:sz w:val="24"/>
          <w:szCs w:val="24"/>
        </w:rPr>
        <w:t>管理制度</w:t>
      </w:r>
      <w:r>
        <w:rPr>
          <w:rFonts w:hint="eastAsia" w:ascii="仿宋_GB2312" w:hAnsi="仿宋_GB2312" w:eastAsia="仿宋_GB2312" w:cs="仿宋_GB2312"/>
          <w:b w:val="0"/>
          <w:bCs/>
          <w:sz w:val="24"/>
          <w:szCs w:val="24"/>
          <w:lang w:val="en-US"/>
        </w:rPr>
        <w:t>评估</w:t>
      </w:r>
      <w:r>
        <w:rPr>
          <w:rFonts w:hint="eastAsia" w:ascii="仿宋_GB2312" w:hAnsi="仿宋_GB2312" w:eastAsia="仿宋_GB2312" w:cs="仿宋_GB2312"/>
          <w:b w:val="0"/>
          <w:bCs/>
          <w:sz w:val="24"/>
          <w:szCs w:val="24"/>
          <w:lang w:val="en-US" w:eastAsia="zh-CN"/>
        </w:rPr>
        <w:t>阶段时，对发现的管理制度问题同步提供修订支持</w:t>
      </w:r>
      <w:r>
        <w:rPr>
          <w:rFonts w:hint="eastAsia" w:ascii="仿宋_GB2312" w:hAnsi="仿宋_GB2312" w:eastAsia="仿宋_GB2312" w:cs="仿宋_GB2312"/>
          <w:b w:val="0"/>
          <w:bCs/>
          <w:sz w:val="24"/>
          <w:szCs w:val="24"/>
          <w:lang w:eastAsia="zh-CN"/>
        </w:rPr>
        <w:t>。</w:t>
      </w:r>
    </w:p>
    <w:p w14:paraId="777BD985">
      <w:pPr>
        <w:pStyle w:val="14"/>
        <w:numPr>
          <w:ilvl w:val="0"/>
          <w:numId w:val="0"/>
        </w:numPr>
        <w:tabs>
          <w:tab w:val="left" w:pos="574"/>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6.2.3</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专用工具要求</w:t>
      </w:r>
    </w:p>
    <w:p w14:paraId="2228D255">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本项目涉及工程实施和验收测试所需的工具，由投标方负责提供。</w:t>
      </w:r>
      <w:r>
        <w:rPr>
          <w:rFonts w:hint="eastAsia" w:ascii="仿宋_GB2312" w:hAnsi="仿宋_GB2312" w:eastAsia="仿宋_GB2312" w:cs="仿宋_GB2312"/>
          <w:b w:val="0"/>
          <w:bCs/>
          <w:sz w:val="24"/>
          <w:szCs w:val="24"/>
        </w:rPr>
        <w:t>供应商保证提供的服务工具不违反国家法律法规的规定，不侵犯任何第三方的专利、商标或版权。</w:t>
      </w:r>
      <w:r>
        <w:rPr>
          <w:rFonts w:hint="eastAsia" w:ascii="仿宋_GB2312" w:hAnsi="仿宋_GB2312" w:eastAsia="仿宋_GB2312" w:cs="仿宋_GB2312"/>
          <w:b w:val="0"/>
          <w:bCs/>
          <w:sz w:val="24"/>
          <w:szCs w:val="24"/>
          <w:lang w:eastAsia="zh-CN"/>
        </w:rPr>
        <w:t>用于测评的工具主要包括服务器安全测评工具、网络设备安全测评工具、终端计算机安全测评工具、网站等应用系统安全测评工具等。在使用前，应对工具进行测评，如果需要则对工具进行软件或代码升级。</w:t>
      </w:r>
    </w:p>
    <w:p w14:paraId="501566EA">
      <w:pPr>
        <w:pStyle w:val="14"/>
        <w:numPr>
          <w:ilvl w:val="0"/>
          <w:numId w:val="0"/>
        </w:numPr>
        <w:tabs>
          <w:tab w:val="left" w:pos="57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6.2.4</w:t>
      </w:r>
      <w:r>
        <w:rPr>
          <w:rFonts w:hint="eastAsia" w:ascii="仿宋_GB2312" w:hAnsi="仿宋_GB2312" w:eastAsia="仿宋_GB2312" w:cs="仿宋_GB2312"/>
          <w:b w:val="0"/>
          <w:bCs/>
          <w:sz w:val="24"/>
          <w:szCs w:val="24"/>
          <w:lang w:eastAsia="zh-CN"/>
        </w:rPr>
        <w:t>、安全管理要求</w:t>
      </w:r>
    </w:p>
    <w:p w14:paraId="27B7F0D6">
      <w:pPr>
        <w:numPr>
          <w:ilvl w:val="0"/>
          <w:numId w:val="0"/>
        </w:numPr>
        <w:tabs>
          <w:tab w:val="left" w:pos="360"/>
          <w:tab w:val="left" w:pos="81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为做好全过程的安全保密工作，</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lang w:eastAsia="zh-CN"/>
        </w:rPr>
        <w:t>前、中、后三个阶段都要做好安全保密工作。</w:t>
      </w:r>
    </w:p>
    <w:p w14:paraId="7E9399DF">
      <w:pPr>
        <w:numPr>
          <w:ilvl w:val="0"/>
          <w:numId w:val="0"/>
        </w:numPr>
        <w:tabs>
          <w:tab w:val="left" w:pos="360"/>
          <w:tab w:val="left" w:pos="81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6.2.4.1</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rPr>
        <w:t>前</w:t>
      </w:r>
    </w:p>
    <w:p w14:paraId="2EB8B5CE">
      <w:pPr>
        <w:pStyle w:val="14"/>
        <w:numPr>
          <w:ilvl w:val="-1"/>
          <w:numId w:val="0"/>
        </w:numPr>
        <w:tabs>
          <w:tab w:val="left" w:pos="989"/>
          <w:tab w:val="left" w:pos="990"/>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eastAsia="zh-CN"/>
        </w:rPr>
        <w:t>对</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lang w:eastAsia="zh-CN"/>
        </w:rPr>
        <w:t>人员要进行安全保密教育，制定安全保密措施；签订安全保密协议。</w:t>
      </w:r>
    </w:p>
    <w:p w14:paraId="2B3CDACB">
      <w:pPr>
        <w:pStyle w:val="14"/>
        <w:numPr>
          <w:ilvl w:val="-1"/>
          <w:numId w:val="0"/>
        </w:numPr>
        <w:tabs>
          <w:tab w:val="left" w:pos="989"/>
          <w:tab w:val="left" w:pos="990"/>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6.2.4.2</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rPr>
        <w:t>中</w:t>
      </w:r>
    </w:p>
    <w:p w14:paraId="09FBC9D2">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对被</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单位的性质、机房物理位置、网络与系统、应用与服务、资料与数据、人员与管理等方面的信息进行严格的安全保密管理；</w:t>
      </w:r>
    </w:p>
    <w:p w14:paraId="66D19F31">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lang w:eastAsia="zh-CN"/>
        </w:rPr>
        <w:t>工具应经过严格测试和检验，确保不对被测评系统造成损失，工作结束后不驻留任何程序；</w:t>
      </w:r>
    </w:p>
    <w:p w14:paraId="391089AE">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对被</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单位信息系统的信息资产、发现的脆弱性和发生过的安全事件等威胁情况要控制知情范围；</w:t>
      </w:r>
    </w:p>
    <w:p w14:paraId="47574F91">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w:t>
      </w:r>
      <w:r>
        <w:rPr>
          <w:rFonts w:hint="eastAsia" w:ascii="仿宋_GB2312" w:hAnsi="仿宋_GB2312" w:eastAsia="仿宋_GB2312" w:cs="仿宋_GB2312"/>
          <w:b w:val="0"/>
          <w:bCs/>
          <w:sz w:val="24"/>
          <w:szCs w:val="24"/>
          <w:lang w:val="en-US" w:eastAsia="zh-CN"/>
        </w:rPr>
        <w:t>评估</w:t>
      </w:r>
      <w:r>
        <w:rPr>
          <w:rFonts w:hint="eastAsia" w:ascii="仿宋_GB2312" w:hAnsi="仿宋_GB2312" w:eastAsia="仿宋_GB2312" w:cs="仿宋_GB2312"/>
          <w:b w:val="0"/>
          <w:bCs/>
          <w:sz w:val="24"/>
          <w:szCs w:val="24"/>
          <w:lang w:eastAsia="zh-CN"/>
        </w:rPr>
        <w:t>设备、介质进行严格的保密管理；</w:t>
      </w:r>
    </w:p>
    <w:p w14:paraId="0FD69944">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工作过程中对人员要实施封闭式集中管理；</w:t>
      </w:r>
    </w:p>
    <w:p w14:paraId="359E596C">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对进场人员遵守被测单位的相关管理规定。</w:t>
      </w:r>
    </w:p>
    <w:p w14:paraId="467CC5CB">
      <w:pPr>
        <w:pStyle w:val="14"/>
        <w:numPr>
          <w:ilvl w:val="-1"/>
          <w:numId w:val="0"/>
        </w:numPr>
        <w:tabs>
          <w:tab w:val="left" w:pos="814"/>
        </w:tabs>
        <w:spacing w:before="1"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6.2.4.3</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商用密码应用安全性评估</w:t>
      </w:r>
      <w:r>
        <w:rPr>
          <w:rFonts w:hint="eastAsia" w:ascii="仿宋_GB2312" w:hAnsi="仿宋_GB2312" w:eastAsia="仿宋_GB2312" w:cs="仿宋_GB2312"/>
          <w:b w:val="0"/>
          <w:bCs/>
          <w:sz w:val="24"/>
          <w:szCs w:val="24"/>
        </w:rPr>
        <w:t>后</w:t>
      </w:r>
    </w:p>
    <w:p w14:paraId="177F13F2">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认真清退各种文档、资料和数据并予以销毁，确保工作过程中敏感数据不被泄漏；</w:t>
      </w:r>
    </w:p>
    <w:p w14:paraId="2F1AEBF5">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现场工作结束后，按被测单位的要求及时还原系统，确保系统中不遗留任何代码或可执行程序；</w:t>
      </w:r>
    </w:p>
    <w:p w14:paraId="2BF6457D">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在其他风险测评任务或宣传材料中不涉及被测单位的秘密、敏感情况。</w:t>
      </w:r>
    </w:p>
    <w:p w14:paraId="35F3FC89">
      <w:pPr>
        <w:pStyle w:val="14"/>
        <w:numPr>
          <w:ilvl w:val="0"/>
          <w:numId w:val="0"/>
        </w:numPr>
        <w:tabs>
          <w:tab w:val="left" w:pos="574"/>
        </w:tabs>
        <w:spacing w:after="157" w:afterLines="50" w:line="240" w:lineRule="auto"/>
        <w:ind w:left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文档要求</w:t>
      </w:r>
    </w:p>
    <w:p w14:paraId="78F93539">
      <w:pPr>
        <w:numPr>
          <w:ilvl w:val="-1"/>
          <w:numId w:val="0"/>
        </w:numPr>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6.2.4.1、</w:t>
      </w:r>
      <w:r>
        <w:rPr>
          <w:rFonts w:hint="eastAsia" w:ascii="仿宋_GB2312" w:hAnsi="仿宋_GB2312" w:eastAsia="仿宋_GB2312" w:cs="仿宋_GB2312"/>
          <w:b w:val="0"/>
          <w:bCs/>
          <w:color w:val="000000"/>
          <w:kern w:val="0"/>
          <w:sz w:val="24"/>
          <w:szCs w:val="24"/>
          <w:lang w:val="en-US" w:eastAsia="zh-CN"/>
        </w:rPr>
        <w:t>商用密码应用安全性评估报告</w:t>
      </w:r>
    </w:p>
    <w:p w14:paraId="50ED0973">
      <w:pPr>
        <w:numPr>
          <w:ilvl w:val="-1"/>
          <w:numId w:val="0"/>
        </w:numPr>
        <w:spacing w:after="157" w:afterLines="50" w:line="240" w:lineRule="auto"/>
        <w:ind w:left="0" w:leftChars="0" w:firstLine="0" w:firstLineChars="0"/>
        <w:rPr>
          <w:rFonts w:hint="eastAsia" w:ascii="仿宋_GB2312" w:hAnsi="仿宋_GB2312" w:eastAsia="仿宋_GB2312" w:cs="仿宋_GB2312"/>
          <w:b w:val="0"/>
          <w:bCs/>
          <w:color w:val="000000"/>
          <w:kern w:val="0"/>
          <w:sz w:val="24"/>
          <w:szCs w:val="24"/>
          <w:lang w:val="en-US" w:eastAsia="zh-CN"/>
        </w:rPr>
      </w:pPr>
      <w:r>
        <w:rPr>
          <w:rFonts w:hint="eastAsia" w:ascii="仿宋_GB2312" w:hAnsi="仿宋_GB2312" w:eastAsia="仿宋_GB2312" w:cs="仿宋_GB2312"/>
          <w:b w:val="0"/>
          <w:bCs/>
          <w:sz w:val="24"/>
          <w:szCs w:val="24"/>
          <w:lang w:val="en-US" w:eastAsia="zh-CN"/>
        </w:rPr>
        <w:t>6.2.4.2、</w:t>
      </w:r>
      <w:r>
        <w:rPr>
          <w:rFonts w:hint="eastAsia" w:ascii="仿宋_GB2312" w:hAnsi="仿宋_GB2312" w:eastAsia="仿宋_GB2312" w:cs="仿宋_GB2312"/>
          <w:b w:val="0"/>
          <w:bCs/>
          <w:color w:val="000000"/>
          <w:kern w:val="0"/>
          <w:sz w:val="24"/>
          <w:szCs w:val="24"/>
          <w:lang w:val="en-US" w:eastAsia="zh-CN"/>
        </w:rPr>
        <w:t>密评结果备案材料接收回执</w:t>
      </w:r>
    </w:p>
    <w:p w14:paraId="33B254D0">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文档或报告的编写应完整清晰</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用词规范</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简明扼要</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指出的问题应明确合理、</w:t>
      </w:r>
      <w:r>
        <w:rPr>
          <w:rFonts w:hint="eastAsia" w:ascii="仿宋_GB2312" w:hAnsi="仿宋_GB2312" w:eastAsia="仿宋_GB2312" w:cs="仿宋_GB2312"/>
          <w:b w:val="0"/>
          <w:bCs/>
          <w:spacing w:val="2"/>
          <w:sz w:val="24"/>
          <w:szCs w:val="24"/>
          <w:lang w:eastAsia="zh-CN"/>
        </w:rPr>
        <w:t>符合逻辑、且有证据</w:t>
      </w:r>
      <w:r>
        <w:rPr>
          <w:rFonts w:hint="eastAsia" w:ascii="仿宋_GB2312" w:hAnsi="仿宋_GB2312" w:eastAsia="仿宋_GB2312" w:cs="仿宋_GB2312"/>
          <w:b w:val="0"/>
          <w:bCs/>
          <w:spacing w:val="4"/>
          <w:sz w:val="24"/>
          <w:szCs w:val="24"/>
          <w:lang w:eastAsia="zh-CN"/>
        </w:rPr>
        <w:t>，</w:t>
      </w:r>
      <w:r>
        <w:rPr>
          <w:rFonts w:hint="eastAsia" w:ascii="仿宋_GB2312" w:hAnsi="仿宋_GB2312" w:eastAsia="仿宋_GB2312" w:cs="仿宋_GB2312"/>
          <w:b w:val="0"/>
          <w:bCs/>
          <w:spacing w:val="2"/>
          <w:sz w:val="24"/>
          <w:szCs w:val="24"/>
          <w:lang w:eastAsia="zh-CN"/>
        </w:rPr>
        <w:t>出具的结论应公正客</w:t>
      </w:r>
      <w:r>
        <w:rPr>
          <w:rFonts w:hint="eastAsia" w:ascii="仿宋_GB2312" w:hAnsi="仿宋_GB2312" w:eastAsia="仿宋_GB2312" w:cs="仿宋_GB2312"/>
          <w:b w:val="0"/>
          <w:bCs/>
          <w:spacing w:val="4"/>
          <w:sz w:val="24"/>
          <w:szCs w:val="24"/>
          <w:lang w:eastAsia="zh-CN"/>
        </w:rPr>
        <w:t>观</w:t>
      </w:r>
      <w:r>
        <w:rPr>
          <w:rFonts w:hint="eastAsia" w:ascii="仿宋_GB2312" w:hAnsi="仿宋_GB2312" w:eastAsia="仿宋_GB2312" w:cs="仿宋_GB2312"/>
          <w:b w:val="0"/>
          <w:bCs/>
          <w:spacing w:val="2"/>
          <w:sz w:val="24"/>
          <w:szCs w:val="24"/>
          <w:lang w:eastAsia="zh-CN"/>
        </w:rPr>
        <w:t>、实事求是，提出的</w:t>
      </w:r>
      <w:r>
        <w:rPr>
          <w:rFonts w:hint="eastAsia" w:ascii="仿宋_GB2312" w:hAnsi="仿宋_GB2312" w:eastAsia="仿宋_GB2312" w:cs="仿宋_GB2312"/>
          <w:b w:val="0"/>
          <w:bCs/>
          <w:spacing w:val="4"/>
          <w:sz w:val="24"/>
          <w:szCs w:val="24"/>
          <w:lang w:eastAsia="zh-CN"/>
        </w:rPr>
        <w:t>建</w:t>
      </w:r>
      <w:r>
        <w:rPr>
          <w:rFonts w:hint="eastAsia" w:ascii="仿宋_GB2312" w:hAnsi="仿宋_GB2312" w:eastAsia="仿宋_GB2312" w:cs="仿宋_GB2312"/>
          <w:b w:val="0"/>
          <w:bCs/>
          <w:spacing w:val="2"/>
          <w:sz w:val="24"/>
          <w:szCs w:val="24"/>
          <w:lang w:eastAsia="zh-CN"/>
        </w:rPr>
        <w:t>议应符合国家</w:t>
      </w:r>
      <w:r>
        <w:rPr>
          <w:rFonts w:hint="eastAsia" w:ascii="仿宋_GB2312" w:hAnsi="仿宋_GB2312" w:eastAsia="仿宋_GB2312" w:cs="仿宋_GB2312"/>
          <w:b w:val="0"/>
          <w:bCs/>
          <w:sz w:val="24"/>
          <w:szCs w:val="24"/>
          <w:lang w:eastAsia="zh-CN"/>
        </w:rPr>
        <w:t>标准规范、富有建设性和可操作性。</w:t>
      </w:r>
    </w:p>
    <w:p w14:paraId="01F3EBEF">
      <w:pPr>
        <w:pStyle w:val="14"/>
        <w:numPr>
          <w:ilvl w:val="0"/>
          <w:numId w:val="0"/>
        </w:numPr>
        <w:tabs>
          <w:tab w:val="left" w:pos="574"/>
        </w:tabs>
        <w:spacing w:before="26" w:after="157" w:afterLines="50" w:line="240" w:lineRule="auto"/>
        <w:ind w:left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6.2.5</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项目成员</w:t>
      </w:r>
      <w:r>
        <w:rPr>
          <w:rFonts w:hint="eastAsia" w:ascii="仿宋_GB2312" w:hAnsi="仿宋_GB2312" w:eastAsia="仿宋_GB2312" w:cs="仿宋_GB2312"/>
          <w:b w:val="0"/>
          <w:bCs/>
          <w:sz w:val="24"/>
          <w:szCs w:val="24"/>
          <w:lang w:eastAsia="zh-CN"/>
        </w:rPr>
        <w:t>要求</w:t>
      </w:r>
    </w:p>
    <w:p w14:paraId="5D3E3D90">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投标方应提供测评成员的技术背景资历资料、从事测评的经验、人力资源的组织方式、项目成员的角色和责任，</w:t>
      </w:r>
      <w:r>
        <w:rPr>
          <w:rFonts w:hint="eastAsia" w:ascii="仿宋_GB2312" w:hAnsi="仿宋_GB2312" w:eastAsia="仿宋_GB2312" w:cs="仿宋_GB2312"/>
          <w:b w:val="0"/>
          <w:bCs/>
          <w:sz w:val="24"/>
          <w:szCs w:val="24"/>
        </w:rPr>
        <w:t>商用密码应用安全性评估</w:t>
      </w:r>
      <w:r>
        <w:rPr>
          <w:rFonts w:hint="eastAsia" w:ascii="仿宋_GB2312" w:hAnsi="仿宋_GB2312" w:eastAsia="仿宋_GB2312" w:cs="仿宋_GB2312"/>
          <w:b w:val="0"/>
          <w:bCs/>
          <w:sz w:val="24"/>
          <w:szCs w:val="24"/>
          <w:lang w:val="en-US" w:eastAsia="zh-CN"/>
        </w:rPr>
        <w:t>人员要求须提供国家密码管理局颁发的“商用密码应用安全性评估人员测评能力考核成绩”</w:t>
      </w:r>
      <w:r>
        <w:rPr>
          <w:rFonts w:hint="eastAsia" w:ascii="仿宋_GB2312" w:hAnsi="仿宋_GB2312" w:eastAsia="仿宋_GB2312" w:cs="仿宋_GB2312"/>
          <w:b w:val="0"/>
          <w:bCs/>
          <w:sz w:val="24"/>
          <w:szCs w:val="24"/>
          <w:lang w:eastAsia="zh-CN"/>
        </w:rPr>
        <w:t>。</w:t>
      </w:r>
    </w:p>
    <w:p w14:paraId="6F51C7C7">
      <w:pPr>
        <w:pStyle w:val="14"/>
        <w:numPr>
          <w:ilvl w:val="0"/>
          <w:numId w:val="0"/>
        </w:numPr>
        <w:tabs>
          <w:tab w:val="left" w:pos="574"/>
        </w:tabs>
        <w:spacing w:before="26" w:after="157" w:afterLines="50" w:line="240" w:lineRule="auto"/>
        <w:ind w:left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6.2.6</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其它要求</w:t>
      </w:r>
    </w:p>
    <w:p w14:paraId="1EA53F93">
      <w:pPr>
        <w:pStyle w:val="14"/>
        <w:numPr>
          <w:ilvl w:val="0"/>
          <w:numId w:val="0"/>
        </w:numPr>
        <w:tabs>
          <w:tab w:val="left" w:pos="0"/>
        </w:tabs>
        <w:spacing w:before="0" w:after="157" w:afterLines="50" w:line="240" w:lineRule="auto"/>
        <w:ind w:left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6.2.6.1、</w:t>
      </w:r>
      <w:r>
        <w:rPr>
          <w:rFonts w:hint="eastAsia" w:ascii="仿宋_GB2312" w:hAnsi="仿宋_GB2312" w:eastAsia="仿宋_GB2312" w:cs="仿宋_GB2312"/>
          <w:b w:val="0"/>
          <w:bCs/>
          <w:sz w:val="24"/>
          <w:szCs w:val="24"/>
          <w:lang w:eastAsia="zh-CN"/>
        </w:rPr>
        <w:t>投标人</w:t>
      </w:r>
      <w:r>
        <w:rPr>
          <w:rFonts w:hint="eastAsia" w:ascii="仿宋_GB2312" w:hAnsi="仿宋_GB2312" w:eastAsia="仿宋_GB2312" w:cs="仿宋_GB2312"/>
          <w:b w:val="0"/>
          <w:bCs/>
          <w:sz w:val="24"/>
          <w:szCs w:val="24"/>
          <w:lang w:val="en-US" w:eastAsia="zh-CN"/>
        </w:rPr>
        <w:t>针对单位现有网络安全应急预案修订提供技术支持（投标时附相应承诺函)</w:t>
      </w:r>
      <w:r>
        <w:rPr>
          <w:rFonts w:hint="eastAsia" w:ascii="仿宋_GB2312" w:hAnsi="仿宋_GB2312" w:eastAsia="仿宋_GB2312" w:cs="仿宋_GB2312"/>
          <w:b w:val="0"/>
          <w:bCs/>
          <w:sz w:val="24"/>
          <w:szCs w:val="24"/>
          <w:lang w:eastAsia="zh-CN"/>
        </w:rPr>
        <w:t>。</w:t>
      </w:r>
    </w:p>
    <w:p w14:paraId="35AC11FC">
      <w:pPr>
        <w:numPr>
          <w:ilvl w:val="0"/>
          <w:numId w:val="0"/>
        </w:numPr>
        <w:ind w:left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6.3、</w:t>
      </w:r>
      <w:r>
        <w:rPr>
          <w:rFonts w:hint="eastAsia" w:ascii="仿宋_GB2312" w:hAnsi="仿宋_GB2312" w:eastAsia="仿宋_GB2312" w:cs="仿宋_GB2312"/>
          <w:sz w:val="28"/>
          <w:szCs w:val="28"/>
        </w:rPr>
        <w:t>商务要求：</w:t>
      </w:r>
    </w:p>
    <w:p w14:paraId="087E968F">
      <w:pPr>
        <w:numPr>
          <w:ilvl w:val="0"/>
          <w:numId w:val="10"/>
        </w:numPr>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交</w:t>
      </w:r>
      <w:r>
        <w:rPr>
          <w:rFonts w:hint="eastAsia" w:ascii="仿宋_GB2312" w:hAnsi="仿宋_GB2312" w:eastAsia="仿宋_GB2312" w:cs="仿宋_GB2312"/>
          <w:sz w:val="28"/>
          <w:szCs w:val="28"/>
          <w:lang w:val="en-US" w:eastAsia="zh-CN"/>
        </w:rPr>
        <w:t>货期/工期/服务期（天）</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结合</w:t>
      </w:r>
      <w:r>
        <w:rPr>
          <w:rFonts w:hint="eastAsia" w:ascii="仿宋_GB2312" w:hAnsi="仿宋_GB2312" w:eastAsia="仿宋_GB2312" w:cs="仿宋_GB2312"/>
          <w:kern w:val="0"/>
          <w:sz w:val="28"/>
          <w:szCs w:val="28"/>
          <w:u w:val="single"/>
          <w:lang w:val="en-US" w:eastAsia="zh-CN"/>
        </w:rPr>
        <w:t>改扩建工程IT基础设施建设项目终验前完成</w:t>
      </w:r>
      <w:r>
        <w:rPr>
          <w:rFonts w:hint="eastAsia" w:ascii="仿宋_GB2312" w:hAnsi="仿宋_GB2312" w:eastAsia="仿宋_GB2312" w:cs="仿宋_GB2312"/>
          <w:sz w:val="28"/>
          <w:szCs w:val="28"/>
        </w:rPr>
        <w:t>。</w:t>
      </w:r>
    </w:p>
    <w:p w14:paraId="3AE5A5F9">
      <w:pPr>
        <w:numPr>
          <w:ilvl w:val="0"/>
          <w:numId w:val="10"/>
        </w:numPr>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深圳市南山区招商街道蛇口工业七路128号</w:t>
      </w:r>
      <w:r>
        <w:rPr>
          <w:rFonts w:hint="eastAsia" w:ascii="仿宋_GB2312" w:hAnsi="仿宋_GB2312" w:eastAsia="仿宋_GB2312" w:cs="仿宋_GB2312"/>
          <w:sz w:val="28"/>
          <w:szCs w:val="28"/>
          <w:u w:val="single"/>
        </w:rPr>
        <w:t xml:space="preserve">深圳市前海蛇口自贸区医院       </w:t>
      </w:r>
      <w:r>
        <w:rPr>
          <w:rFonts w:hint="eastAsia" w:ascii="仿宋_GB2312" w:hAnsi="仿宋_GB2312" w:eastAsia="仿宋_GB2312" w:cs="仿宋_GB2312"/>
          <w:sz w:val="28"/>
          <w:szCs w:val="28"/>
        </w:rPr>
        <w:t>。</w:t>
      </w:r>
    </w:p>
    <w:p w14:paraId="0B583B08">
      <w:pPr>
        <w:numPr>
          <w:ilvl w:val="0"/>
          <w:numId w:val="10"/>
        </w:numPr>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付款进度和方式：</w:t>
      </w:r>
    </w:p>
    <w:p w14:paraId="74D2835C">
      <w:pPr>
        <w:spacing w:after="157" w:afterLines="50" w:line="240" w:lineRule="auto"/>
        <w:ind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付款方式：服务费分二期支付。</w:t>
      </w:r>
    </w:p>
    <w:p w14:paraId="065966AE">
      <w:pPr>
        <w:spacing w:after="157" w:afterLines="50" w:line="240" w:lineRule="auto"/>
        <w:ind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第一期，采购方在合同签订后并收到中标供应商合法的正式发票后向中标供应商支付合同总金额50%；</w:t>
      </w:r>
    </w:p>
    <w:p w14:paraId="0F6D8AC4">
      <w:pPr>
        <w:spacing w:after="157" w:afterLines="50" w:line="240" w:lineRule="auto"/>
        <w:ind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第二期，中标供应商在按甲方要求完成所有项目，提交给采购方相应的书面</w:t>
      </w:r>
      <w:r>
        <w:rPr>
          <w:rFonts w:hint="eastAsia" w:ascii="仿宋_GB2312" w:hAnsi="仿宋_GB2312" w:eastAsia="仿宋_GB2312" w:cs="仿宋_GB2312"/>
          <w:color w:val="000000"/>
          <w:kern w:val="0"/>
          <w:sz w:val="28"/>
          <w:szCs w:val="28"/>
          <w:u w:val="single"/>
          <w:lang w:val="en-US" w:eastAsia="zh-CN"/>
        </w:rPr>
        <w:t>《商用密码应用安全性评估报告》、密评结果备案材料接收回执</w:t>
      </w:r>
      <w:r>
        <w:rPr>
          <w:rFonts w:hint="eastAsia" w:ascii="仿宋_GB2312" w:hAnsi="仿宋_GB2312" w:eastAsia="仿宋_GB2312" w:cs="仿宋_GB2312"/>
          <w:sz w:val="28"/>
          <w:szCs w:val="28"/>
          <w:u w:val="single"/>
        </w:rPr>
        <w:t>并验收合格后，采购方在收到中标供应商合法的正式发票后向中标供应商支付同总金额50%。</w:t>
      </w:r>
    </w:p>
    <w:p w14:paraId="5B8F7EDD">
      <w:pPr>
        <w:spacing w:after="157" w:afterLines="50" w:line="240" w:lineRule="auto"/>
        <w:ind w:firstLine="560" w:firstLineChars="200"/>
        <w:jc w:val="left"/>
        <w:rPr>
          <w:rFonts w:hint="eastAsia" w:ascii="仿宋_GB2312" w:hAnsi="仿宋_GB2312" w:eastAsia="仿宋_GB2312" w:cs="仿宋_GB2312"/>
          <w:color w:val="auto"/>
          <w:kern w:val="2"/>
          <w:sz w:val="28"/>
          <w:szCs w:val="28"/>
          <w:u w:val="single"/>
          <w:lang w:val="en-US" w:eastAsia="zh-CN"/>
        </w:rPr>
      </w:pPr>
      <w:bookmarkStart w:id="0" w:name="_GoBack"/>
      <w:r>
        <w:rPr>
          <w:rFonts w:hint="eastAsia" w:ascii="仿宋_GB2312" w:hAnsi="仿宋_GB2312" w:eastAsia="仿宋_GB2312" w:cs="仿宋_GB2312"/>
          <w:color w:val="auto"/>
          <w:kern w:val="2"/>
          <w:sz w:val="28"/>
          <w:szCs w:val="28"/>
          <w:u w:val="single"/>
          <w:lang w:val="en-US" w:eastAsia="zh-CN"/>
        </w:rPr>
        <w:t xml:space="preserve">鉴于甲方使用的是财政资金，其付款时间以向政府财政部门提出办理财政支付申请手续的时间为准（不含政府财政支付部门的审核时间）。在规定时间内，一旦甲方提出支付申请手续，即视为已按期支付。若因财政审批原因导致的延期付款，甲方不承担违约责任，乙方应继续履行约定的义务。 </w:t>
      </w:r>
    </w:p>
    <w:p w14:paraId="00D07DD8">
      <w:pPr>
        <w:spacing w:after="157" w:afterLines="50" w:line="240" w:lineRule="auto"/>
        <w:ind w:firstLine="560" w:firstLineChars="200"/>
        <w:rPr>
          <w:rFonts w:hint="eastAsia"/>
          <w:color w:val="auto"/>
          <w:sz w:val="28"/>
          <w:szCs w:val="28"/>
          <w:u w:val="single"/>
        </w:rPr>
      </w:pPr>
      <w:r>
        <w:rPr>
          <w:rFonts w:hint="eastAsia" w:ascii="仿宋_GB2312" w:hAnsi="仿宋_GB2312" w:eastAsia="仿宋_GB2312" w:cs="仿宋_GB2312"/>
          <w:color w:val="auto"/>
          <w:kern w:val="2"/>
          <w:sz w:val="28"/>
          <w:szCs w:val="28"/>
          <w:u w:val="single"/>
          <w:lang w:val="en-US" w:eastAsia="zh-CN"/>
        </w:rPr>
        <w:t>若本项目财政下达的资金数额不足以支付合同约定的比例金额，甲方将按照实际财政下达的资金数额支付合同款，不足部分将待新的项目资金下达后进行支付。</w:t>
      </w:r>
    </w:p>
    <w:bookmarkEnd w:id="0"/>
    <w:p w14:paraId="6FDB7423">
      <w:pPr>
        <w:pStyle w:val="3"/>
        <w:numPr>
          <w:ilvl w:val="0"/>
          <w:numId w:val="0"/>
        </w:numPr>
        <w:spacing w:before="0" w:after="0" w:line="240" w:lineRule="auto"/>
        <w:rPr>
          <w:rFonts w:hint="eastAsia" w:ascii="仿宋" w:hAnsi="仿宋" w:eastAsia="仿宋"/>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lang w:eastAsia="zh-CN"/>
        </w:rPr>
        <w:t>）</w:t>
      </w:r>
      <w:r>
        <w:rPr>
          <w:rFonts w:hint="eastAsia" w:ascii="仿宋" w:hAnsi="仿宋" w:eastAsia="仿宋"/>
          <w:sz w:val="28"/>
          <w:szCs w:val="28"/>
        </w:rPr>
        <w:t>评审规则</w:t>
      </w:r>
      <w:r>
        <w:rPr>
          <w:rFonts w:hint="eastAsia" w:ascii="仿宋" w:hAnsi="仿宋" w:eastAsia="仿宋"/>
          <w:sz w:val="28"/>
          <w:szCs w:val="28"/>
          <w:lang w:eastAsia="zh-CN"/>
        </w:rPr>
        <w:t>：</w:t>
      </w:r>
    </w:p>
    <w:p w14:paraId="08BC1A3F">
      <w:pPr>
        <w:adjustRightInd w:val="0"/>
        <w:snapToGrid w:val="0"/>
        <w:jc w:val="left"/>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评标方法：最低评标价法</w:t>
      </w:r>
    </w:p>
    <w:p w14:paraId="73B02A3B">
      <w:pPr>
        <w:adjustRightInd w:val="0"/>
        <w:snapToGrid w:val="0"/>
        <w:jc w:val="left"/>
        <w:rPr>
          <w:rFonts w:hint="eastAsia"/>
          <w:lang w:val="en-US" w:eastAsia="zh-CN"/>
        </w:rPr>
      </w:pPr>
    </w:p>
    <w:sectPr>
      <w:headerReference r:id="rId3" w:type="default"/>
      <w:footerReference r:id="rId4" w:type="default"/>
      <w:pgSz w:w="11906" w:h="16838"/>
      <w:pgMar w:top="1440" w:right="14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109758"/>
    </w:sdtPr>
    <w:sdtContent>
      <w:p w14:paraId="104E744A">
        <w:pPr>
          <w:pStyle w:val="5"/>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3C5F">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67903EB"/>
    <w:multiLevelType w:val="singleLevel"/>
    <w:tmpl w:val="A67903EB"/>
    <w:lvl w:ilvl="0" w:tentative="0">
      <w:start w:val="3"/>
      <w:numFmt w:val="chineseCounting"/>
      <w:suff w:val="nothing"/>
      <w:lvlText w:val="（%1）"/>
      <w:lvlJc w:val="left"/>
      <w:rPr>
        <w:rFonts w:hint="eastAsia"/>
        <w:b/>
        <w:bCs/>
      </w:rPr>
    </w:lvl>
  </w:abstractNum>
  <w:abstractNum w:abstractNumId="2">
    <w:nsid w:val="EC737CDF"/>
    <w:multiLevelType w:val="singleLevel"/>
    <w:tmpl w:val="EC737CDF"/>
    <w:lvl w:ilvl="0" w:tentative="0">
      <w:start w:val="1"/>
      <w:numFmt w:val="decimal"/>
      <w:lvlText w:val="(%1)"/>
      <w:lvlJc w:val="left"/>
      <w:pPr>
        <w:ind w:left="425" w:hanging="425"/>
      </w:pPr>
      <w:rPr>
        <w:rFonts w:hint="default"/>
      </w:rPr>
    </w:lvl>
  </w:abstractNum>
  <w:abstractNum w:abstractNumId="3">
    <w:nsid w:val="00000000"/>
    <w:multiLevelType w:val="singleLevel"/>
    <w:tmpl w:val="00000000"/>
    <w:lvl w:ilvl="0" w:tentative="0">
      <w:start w:val="1"/>
      <w:numFmt w:val="decimal"/>
      <w:lvlText w:val="(%1)"/>
      <w:lvlJc w:val="left"/>
      <w:pPr>
        <w:ind w:left="425" w:hanging="425"/>
      </w:pPr>
      <w:rPr>
        <w:rFonts w:hint="default"/>
      </w:rPr>
    </w:lvl>
  </w:abstractNum>
  <w:abstractNum w:abstractNumId="4">
    <w:nsid w:val="00000001"/>
    <w:multiLevelType w:val="singleLevel"/>
    <w:tmpl w:val="00000001"/>
    <w:lvl w:ilvl="0" w:tentative="0">
      <w:start w:val="1"/>
      <w:numFmt w:val="decimal"/>
      <w:lvlText w:val="(%1)"/>
      <w:lvlJc w:val="left"/>
      <w:pPr>
        <w:ind w:left="425" w:hanging="425"/>
      </w:pPr>
      <w:rPr>
        <w:rFonts w:hint="default"/>
      </w:rPr>
    </w:lvl>
  </w:abstractNum>
  <w:abstractNum w:abstractNumId="5">
    <w:nsid w:val="035A8C2E"/>
    <w:multiLevelType w:val="singleLevel"/>
    <w:tmpl w:val="035A8C2E"/>
    <w:lvl w:ilvl="0" w:tentative="0">
      <w:start w:val="1"/>
      <w:numFmt w:val="decimal"/>
      <w:lvlText w:val="(%1)"/>
      <w:lvlJc w:val="left"/>
      <w:pPr>
        <w:ind w:left="425" w:hanging="425"/>
      </w:pPr>
      <w:rPr>
        <w:rFonts w:hint="default"/>
      </w:rPr>
    </w:lvl>
  </w:abstractNum>
  <w:abstractNum w:abstractNumId="6">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57C17F6"/>
    <w:multiLevelType w:val="singleLevel"/>
    <w:tmpl w:val="457C17F6"/>
    <w:lvl w:ilvl="0" w:tentative="0">
      <w:start w:val="1"/>
      <w:numFmt w:val="decimal"/>
      <w:lvlText w:val="(%1)"/>
      <w:lvlJc w:val="left"/>
      <w:pPr>
        <w:ind w:left="425" w:hanging="425"/>
      </w:pPr>
      <w:rPr>
        <w:rFonts w:hint="default"/>
      </w:rPr>
    </w:lvl>
  </w:abstractNum>
  <w:abstractNum w:abstractNumId="8">
    <w:nsid w:val="4F4D2419"/>
    <w:multiLevelType w:val="singleLevel"/>
    <w:tmpl w:val="4F4D2419"/>
    <w:lvl w:ilvl="0" w:tentative="0">
      <w:start w:val="1"/>
      <w:numFmt w:val="decimal"/>
      <w:lvlText w:val="(%1)"/>
      <w:lvlJc w:val="left"/>
      <w:pPr>
        <w:ind w:left="425" w:hanging="425"/>
      </w:pPr>
      <w:rPr>
        <w:rFonts w:hint="default"/>
      </w:rPr>
    </w:lvl>
  </w:abstractNum>
  <w:abstractNum w:abstractNumId="9">
    <w:nsid w:val="746A6B31"/>
    <w:multiLevelType w:val="singleLevel"/>
    <w:tmpl w:val="746A6B31"/>
    <w:lvl w:ilvl="0" w:tentative="0">
      <w:start w:val="1"/>
      <w:numFmt w:val="chineseCounting"/>
      <w:suff w:val="nothing"/>
      <w:lvlText w:val="（%1）"/>
      <w:lvlJc w:val="left"/>
      <w:pPr>
        <w:ind w:left="-420" w:firstLine="420"/>
      </w:pPr>
      <w:rPr>
        <w:rFonts w:hint="eastAsia"/>
      </w:rPr>
    </w:lvl>
  </w:abstractNum>
  <w:num w:numId="1">
    <w:abstractNumId w:val="6"/>
  </w:num>
  <w:num w:numId="2">
    <w:abstractNumId w:val="9"/>
  </w:num>
  <w:num w:numId="3">
    <w:abstractNumId w:val="0"/>
  </w:num>
  <w:num w:numId="4">
    <w:abstractNumId w:val="8"/>
  </w:num>
  <w:num w:numId="5">
    <w:abstractNumId w:val="1"/>
  </w:num>
  <w:num w:numId="6">
    <w:abstractNumId w:val="7"/>
  </w:num>
  <w:num w:numId="7">
    <w:abstractNumId w:val="5"/>
  </w:num>
  <w:num w:numId="8">
    <w:abstractNumId w:val="4"/>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xNzhhZWVjZDVjYzFiNzUyN2FlYmU1YTIwNTA2N2MifQ=="/>
  </w:docVars>
  <w:rsids>
    <w:rsidRoot w:val="00681410"/>
    <w:rsid w:val="0002072A"/>
    <w:rsid w:val="00061E07"/>
    <w:rsid w:val="00160CAF"/>
    <w:rsid w:val="00162818"/>
    <w:rsid w:val="00216720"/>
    <w:rsid w:val="002277A4"/>
    <w:rsid w:val="00681410"/>
    <w:rsid w:val="0078244A"/>
    <w:rsid w:val="008914B7"/>
    <w:rsid w:val="00B97AED"/>
    <w:rsid w:val="00C9106E"/>
    <w:rsid w:val="00F43941"/>
    <w:rsid w:val="076653B1"/>
    <w:rsid w:val="09173EE8"/>
    <w:rsid w:val="0A481E7F"/>
    <w:rsid w:val="0C6A7D1D"/>
    <w:rsid w:val="0D532C76"/>
    <w:rsid w:val="0D7D62E4"/>
    <w:rsid w:val="0E1409F6"/>
    <w:rsid w:val="125735A8"/>
    <w:rsid w:val="13020282"/>
    <w:rsid w:val="1A71475F"/>
    <w:rsid w:val="1C4A5F2B"/>
    <w:rsid w:val="1CEE4B08"/>
    <w:rsid w:val="22C41937"/>
    <w:rsid w:val="268A3AF4"/>
    <w:rsid w:val="274C6A3A"/>
    <w:rsid w:val="27870033"/>
    <w:rsid w:val="2B033E75"/>
    <w:rsid w:val="2CBA4A07"/>
    <w:rsid w:val="2D9708A4"/>
    <w:rsid w:val="2E4F2F2D"/>
    <w:rsid w:val="312A0667"/>
    <w:rsid w:val="31BC3D81"/>
    <w:rsid w:val="32755658"/>
    <w:rsid w:val="345D1B1D"/>
    <w:rsid w:val="34F5482E"/>
    <w:rsid w:val="37021484"/>
    <w:rsid w:val="37A97B52"/>
    <w:rsid w:val="386B2CF7"/>
    <w:rsid w:val="3A573895"/>
    <w:rsid w:val="3BE455FD"/>
    <w:rsid w:val="3CA628B2"/>
    <w:rsid w:val="3CB44FCF"/>
    <w:rsid w:val="3E740EBA"/>
    <w:rsid w:val="3EDE27D7"/>
    <w:rsid w:val="3F786788"/>
    <w:rsid w:val="418F2299"/>
    <w:rsid w:val="43364990"/>
    <w:rsid w:val="45525385"/>
    <w:rsid w:val="45991206"/>
    <w:rsid w:val="464C0026"/>
    <w:rsid w:val="47613FA5"/>
    <w:rsid w:val="47946129"/>
    <w:rsid w:val="48BF2D31"/>
    <w:rsid w:val="4C4243A5"/>
    <w:rsid w:val="4C4609B6"/>
    <w:rsid w:val="4C6B057F"/>
    <w:rsid w:val="4C742085"/>
    <w:rsid w:val="4D7C5695"/>
    <w:rsid w:val="4D981DA3"/>
    <w:rsid w:val="4E7B76FB"/>
    <w:rsid w:val="4F624D5E"/>
    <w:rsid w:val="504601DC"/>
    <w:rsid w:val="534A6576"/>
    <w:rsid w:val="539D45B7"/>
    <w:rsid w:val="55C743C9"/>
    <w:rsid w:val="57C2283E"/>
    <w:rsid w:val="59266DFD"/>
    <w:rsid w:val="5BE75C8A"/>
    <w:rsid w:val="5C9B1D7C"/>
    <w:rsid w:val="62B86D17"/>
    <w:rsid w:val="645E569D"/>
    <w:rsid w:val="646A2293"/>
    <w:rsid w:val="67006EDF"/>
    <w:rsid w:val="688A4CB2"/>
    <w:rsid w:val="68FA776B"/>
    <w:rsid w:val="6C70102E"/>
    <w:rsid w:val="6D282CEC"/>
    <w:rsid w:val="6E0472B5"/>
    <w:rsid w:val="70756EB2"/>
    <w:rsid w:val="707C51C4"/>
    <w:rsid w:val="72227D09"/>
    <w:rsid w:val="736600CA"/>
    <w:rsid w:val="74974D88"/>
    <w:rsid w:val="74B15375"/>
    <w:rsid w:val="763C15B6"/>
    <w:rsid w:val="775A4564"/>
    <w:rsid w:val="79D33FDF"/>
    <w:rsid w:val="79E24222"/>
    <w:rsid w:val="7A1E34AC"/>
    <w:rsid w:val="7B3B3DC5"/>
    <w:rsid w:val="7B8437E3"/>
    <w:rsid w:val="7EFC6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ind w:left="238"/>
      <w:jc w:val="left"/>
    </w:pPr>
    <w:rPr>
      <w:rFonts w:cs="Arial"/>
      <w:smallCaps/>
      <w:sz w:val="24"/>
      <w:szCs w:val="20"/>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table" w:styleId="8">
    <w:name w:val="Table Grid"/>
    <w:basedOn w:val="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paragraph" w:styleId="14">
    <w:name w:val="List Paragraph"/>
    <w:basedOn w:val="1"/>
    <w:qFormat/>
    <w:uiPriority w:val="34"/>
    <w:pPr>
      <w:ind w:left="704" w:hanging="420"/>
    </w:pPr>
    <w:rPr>
      <w:rFonts w:ascii="Times New Roman" w:hAnsi="Times New Roman" w:eastAsia="黑体" w:cs="Times New Roman"/>
      <w:sz w:val="32"/>
      <w:szCs w:val="24"/>
    </w:rPr>
  </w:style>
  <w:style w:type="character" w:customStyle="1" w:styleId="15">
    <w:name w:val="标题 1 字符"/>
    <w:basedOn w:val="9"/>
    <w:link w:val="3"/>
    <w:qFormat/>
    <w:uiPriority w:val="9"/>
    <w:rPr>
      <w:b/>
      <w:bCs/>
      <w:kern w:val="44"/>
      <w:sz w:val="44"/>
      <w:szCs w:val="44"/>
    </w:rPr>
  </w:style>
  <w:style w:type="paragraph" w:customStyle="1" w:styleId="16">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4260</Words>
  <Characters>4408</Characters>
  <Lines>7</Lines>
  <Paragraphs>2</Paragraphs>
  <TotalTime>0</TotalTime>
  <ScaleCrop>false</ScaleCrop>
  <LinksUpToDate>false</LinksUpToDate>
  <CharactersWithSpaces>4485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2026-09-30T08:27:36Z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1166083AFECB431490F7D40BF74AD178_13</vt:lpwstr>
  </property>
  <property fmtid="{D5CDD505-2E9C-101B-9397-08002B2CF9AE}" pid="4" name="KSOTemplateDocerSaveRecord">
    <vt:lpwstr>eyJoZGlkIjoiOTgxNzhhZWVjZDVjYzFiNzUyN2FlYmU1YTIwNTA2N2MiLCJ1c2VySWQiOiIxMTI2ODg3MDA2In0=</vt:lpwstr>
  </property>
</Properties>
</file>