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C2C1">
      <w:pPr>
        <w:pStyle w:val="12"/>
        <w:widowControl/>
        <w:numPr>
          <w:ilvl w:val="0"/>
          <w:numId w:val="1"/>
        </w:numPr>
        <w:spacing w:line="360" w:lineRule="auto"/>
        <w:jc w:val="left"/>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项目基本情况</w:t>
      </w:r>
    </w:p>
    <w:p w14:paraId="30CBC62D">
      <w:pPr>
        <w:pStyle w:val="12"/>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项目名称</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 xml:space="preserve"> 生命体征监测仪   </w:t>
      </w:r>
    </w:p>
    <w:p w14:paraId="3159F1BD">
      <w:pPr>
        <w:pStyle w:val="12"/>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项目预算</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 xml:space="preserve"> 6万元 </w:t>
      </w:r>
    </w:p>
    <w:p w14:paraId="752E2AC0">
      <w:pPr>
        <w:pStyle w:val="12"/>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w:t>
      </w:r>
      <w:r>
        <w:rPr>
          <w:rFonts w:hint="eastAsia" w:ascii="仿宋_GB2312" w:hAnsi="仿宋_GB2312" w:eastAsia="仿宋_GB2312" w:cs="仿宋_GB2312"/>
          <w:kern w:val="0"/>
          <w:sz w:val="28"/>
          <w:szCs w:val="28"/>
          <w:highlight w:val="none"/>
          <w:lang w:val="en-US" w:eastAsia="zh-CN"/>
        </w:rPr>
        <w:t>报价类型</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总价</w:t>
      </w:r>
    </w:p>
    <w:p w14:paraId="76814A97">
      <w:pPr>
        <w:pStyle w:val="12"/>
        <w:widowControl/>
        <w:numPr>
          <w:ilvl w:val="0"/>
          <w:numId w:val="2"/>
        </w:numPr>
        <w:spacing w:line="360" w:lineRule="auto"/>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资金来源：</w:t>
      </w:r>
      <w:r>
        <w:rPr>
          <w:rFonts w:hint="eastAsia" w:ascii="仿宋_GB2312" w:hAnsi="仿宋_GB2312" w:eastAsia="仿宋_GB2312" w:cs="仿宋_GB2312"/>
          <w:kern w:val="0"/>
          <w:sz w:val="28"/>
          <w:szCs w:val="28"/>
          <w:highlight w:val="none"/>
        </w:rPr>
        <w:t>财政资金</w:t>
      </w:r>
    </w:p>
    <w:p w14:paraId="1EC31517">
      <w:pPr>
        <w:pStyle w:val="12"/>
        <w:widowControl/>
        <w:numPr>
          <w:ilvl w:val="0"/>
          <w:numId w:val="2"/>
        </w:numPr>
        <w:spacing w:line="360" w:lineRule="auto"/>
        <w:ind w:left="0" w:leftChars="0" w:firstLine="0" w:firstLineChars="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rPr>
        <w:t>资金项目名称：</w:t>
      </w:r>
      <w:r>
        <w:rPr>
          <w:rFonts w:hint="eastAsia" w:ascii="仿宋_GB2312" w:hAnsi="仿宋_GB2312" w:eastAsia="仿宋_GB2312" w:cs="仿宋_GB2312"/>
          <w:kern w:val="0"/>
          <w:sz w:val="28"/>
          <w:szCs w:val="28"/>
          <w:highlight w:val="none"/>
          <w:lang w:val="en-US" w:eastAsia="zh-CN"/>
        </w:rPr>
        <w:t>以奖代补</w:t>
      </w:r>
    </w:p>
    <w:p w14:paraId="0444FBD3">
      <w:pPr>
        <w:pStyle w:val="12"/>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采购类别：货物</w:t>
      </w:r>
    </w:p>
    <w:p w14:paraId="394FBE4B">
      <w:pPr>
        <w:pStyle w:val="12"/>
        <w:widowControl/>
        <w:numPr>
          <w:ilvl w:val="0"/>
          <w:numId w:val="1"/>
        </w:numPr>
        <w:spacing w:line="360" w:lineRule="auto"/>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b/>
          <w:color w:val="000000" w:themeColor="text1"/>
          <w:kern w:val="0"/>
          <w:sz w:val="28"/>
          <w:szCs w:val="28"/>
          <w:highlight w:val="none"/>
          <w:lang w:val="en-US" w:eastAsia="zh-CN"/>
          <w14:textFill>
            <w14:solidFill>
              <w14:schemeClr w14:val="tx1"/>
            </w14:solidFill>
          </w14:textFill>
        </w:rPr>
        <w:t>项目</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采购需求</w:t>
      </w: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w:t>
      </w:r>
    </w:p>
    <w:p w14:paraId="4033A6BD">
      <w:pPr>
        <w:pStyle w:val="12"/>
        <w:widowControl/>
        <w:numPr>
          <w:ilvl w:val="0"/>
          <w:numId w:val="3"/>
        </w:numPr>
        <w:spacing w:line="360" w:lineRule="auto"/>
        <w:ind w:leftChars="0"/>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采购项目需实现的功能和目标：</w:t>
      </w:r>
      <w:r>
        <w:rPr>
          <w:rFonts w:hint="eastAsia" w:ascii="仿宋_GB2312" w:hAnsi="仿宋_GB2312" w:eastAsia="仿宋_GB2312" w:cs="仿宋_GB2312"/>
          <w:sz w:val="28"/>
          <w:szCs w:val="28"/>
          <w:highlight w:val="none"/>
          <w:lang w:val="en-US" w:eastAsia="zh-CN"/>
        </w:rPr>
        <w:t xml:space="preserve"> </w:t>
      </w:r>
    </w:p>
    <w:p w14:paraId="1F346185">
      <w:pPr>
        <w:pStyle w:val="12"/>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lang w:val="en-US" w:eastAsia="zh-CN"/>
        </w:rPr>
        <w:t>生命体征监护仪可实时监测患者的无创血压、血氧、脉搏、体温等参数，并在出现异常时及时预警，提醒医护人员迅速做出反应。</w:t>
      </w:r>
    </w:p>
    <w:p w14:paraId="2540539B">
      <w:pPr>
        <w:pStyle w:val="12"/>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val="en-US" w:eastAsia="zh-CN"/>
        </w:rPr>
        <w:t>测量数据与HIS系统关联，实现患者生命体征自动化录入预检分诊系统。</w:t>
      </w:r>
    </w:p>
    <w:p w14:paraId="4EBD1167">
      <w:pPr>
        <w:pStyle w:val="12"/>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val="en-US" w:eastAsia="zh-CN"/>
        </w:rPr>
        <w:t>设备具有EWS早期预警评分系统，通过测量数据提醒医护人员及时发现患者病情，为临床决策提供支持。</w:t>
      </w:r>
    </w:p>
    <w:p w14:paraId="18BB3F1B">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（二）项目属性：</w:t>
      </w:r>
    </w:p>
    <w:p w14:paraId="6270BB29">
      <w:pPr>
        <w:numPr>
          <w:ilvl w:val="0"/>
          <w:numId w:val="5"/>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是否适宜由中小企业提供，并专门面向中小企业采购 </w:t>
      </w:r>
    </w:p>
    <w:p w14:paraId="19C8F142">
      <w:pPr>
        <w:numPr>
          <w:ilvl w:val="0"/>
          <w:numId w:val="6"/>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□是否仅面向小微企业</w:t>
      </w:r>
    </w:p>
    <w:p w14:paraId="41D03029">
      <w:pPr>
        <w:numPr>
          <w:ilvl w:val="0"/>
          <w:numId w:val="6"/>
        </w:numPr>
        <w:spacing w:line="360" w:lineRule="auto"/>
        <w:ind w:left="425" w:leftChars="0" w:hanging="425" w:firstLineChars="0"/>
        <w:rPr>
          <w:rFonts w:ascii="仿宋" w:hAnsi="仿宋" w:eastAsia="仿宋"/>
          <w:sz w:val="28"/>
          <w:szCs w:val="28"/>
          <w:u w:val="single"/>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否，原因说明</w:t>
      </w:r>
      <w:r>
        <w:rPr>
          <w:rFonts w:hint="eastAsia" w:ascii="仿宋_GB2312" w:hAnsi="仿宋_GB2312" w:eastAsia="仿宋_GB2312" w:cs="仿宋_GB2312"/>
          <w:sz w:val="28"/>
          <w:szCs w:val="28"/>
          <w:lang w:eastAsia="zh-CN"/>
        </w:rPr>
        <w:t>：</w:t>
      </w:r>
      <w:r>
        <w:rPr>
          <w:rFonts w:hint="eastAsia" w:ascii="仿宋" w:hAnsi="仿宋" w:eastAsia="仿宋"/>
          <w:sz w:val="28"/>
          <w:szCs w:val="28"/>
          <w:u w:val="single"/>
        </w:rPr>
        <w:t>按照办法规定预留采购份额无法确保充分供应、充分竞争，或者存在可能影响政府采购目标实现的情形</w:t>
      </w:r>
      <w:r>
        <w:rPr>
          <w:rFonts w:hint="eastAsia" w:ascii="仿宋" w:hAnsi="仿宋" w:eastAsia="仿宋"/>
          <w:sz w:val="28"/>
          <w:szCs w:val="28"/>
          <w:u w:val="single"/>
          <w:lang w:eastAsia="zh-CN"/>
        </w:rPr>
        <w:t>。</w:t>
      </w:r>
    </w:p>
    <w:p w14:paraId="55EE44AB">
      <w:pPr>
        <w:numPr>
          <w:ilvl w:val="0"/>
          <w:numId w:val="7"/>
        </w:numP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是否接受</w:t>
      </w:r>
      <w:r>
        <w:rPr>
          <w:rFonts w:hint="eastAsia" w:ascii="仿宋_GB2312" w:hAnsi="仿宋_GB2312" w:eastAsia="仿宋_GB2312" w:cs="仿宋_GB2312"/>
          <w:b/>
          <w:bCs/>
          <w:sz w:val="28"/>
          <w:szCs w:val="28"/>
        </w:rPr>
        <w:t>联合体投标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是</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否</w:t>
      </w:r>
    </w:p>
    <w:p w14:paraId="364C7258">
      <w:pPr>
        <w:spacing w:line="360" w:lineRule="auto"/>
        <w:rPr>
          <w:rFonts w:hint="eastAsia" w:ascii="仿宋_GB2312" w:hAnsi="仿宋_GB2312" w:eastAsia="仿宋_GB2312" w:cs="仿宋_GB2312"/>
          <w:b/>
          <w:bCs/>
          <w:sz w:val="28"/>
          <w:szCs w:val="28"/>
          <w:lang w:eastAsia="zh-CN"/>
        </w:rPr>
      </w:pPr>
      <w:r>
        <w:rPr>
          <w:rFonts w:hint="eastAsia" w:ascii="仿宋" w:hAnsi="仿宋" w:eastAsia="仿宋"/>
          <w:b/>
          <w:bCs/>
          <w:sz w:val="32"/>
          <w:szCs w:val="32"/>
        </w:rPr>
        <w:t>（</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）采购标的汇总表</w:t>
      </w:r>
      <w:r>
        <w:rPr>
          <w:rFonts w:hint="eastAsia" w:ascii="仿宋_GB2312" w:hAnsi="仿宋_GB2312" w:eastAsia="仿宋_GB2312" w:cs="仿宋_GB2312"/>
          <w:b/>
          <w:bCs/>
          <w:sz w:val="28"/>
          <w:szCs w:val="28"/>
          <w:lang w:eastAsia="zh-CN"/>
        </w:rPr>
        <w:t>：</w:t>
      </w:r>
    </w:p>
    <w:tbl>
      <w:tblPr>
        <w:tblStyle w:val="7"/>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2602"/>
        <w:gridCol w:w="1330"/>
        <w:gridCol w:w="968"/>
        <w:gridCol w:w="1200"/>
        <w:gridCol w:w="2065"/>
      </w:tblGrid>
      <w:tr w14:paraId="6E64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405" w:type="dxa"/>
            <w:shd w:val="clear" w:color="auto" w:fill="FFFFFF"/>
            <w:tcMar>
              <w:top w:w="0" w:type="dxa"/>
              <w:right w:w="0" w:type="dxa"/>
            </w:tcMar>
            <w:vAlign w:val="center"/>
          </w:tcPr>
          <w:p w14:paraId="720C938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color w:val="000000" w:themeColor="text1"/>
                <w:kern w:val="0"/>
                <w:sz w:val="28"/>
                <w:szCs w:val="28"/>
                <w14:textFill>
                  <w14:solidFill>
                    <w14:schemeClr w14:val="tx1"/>
                  </w14:solidFill>
                </w14:textFill>
              </w:rPr>
              <w:t>名称</w:t>
            </w:r>
          </w:p>
        </w:tc>
        <w:tc>
          <w:tcPr>
            <w:tcW w:w="2602" w:type="dxa"/>
            <w:shd w:val="clear" w:color="auto" w:fill="FFFFFF"/>
            <w:tcMar>
              <w:top w:w="0" w:type="dxa"/>
              <w:right w:w="0" w:type="dxa"/>
            </w:tcMar>
            <w:vAlign w:val="center"/>
          </w:tcPr>
          <w:p w14:paraId="5D1646F0">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品目 （政府采购品目分类目录）</w:t>
            </w:r>
          </w:p>
        </w:tc>
        <w:tc>
          <w:tcPr>
            <w:tcW w:w="1330" w:type="dxa"/>
            <w:shd w:val="clear" w:color="auto" w:fill="FFFFFF"/>
            <w:tcMar>
              <w:top w:w="0" w:type="dxa"/>
              <w:right w:w="0" w:type="dxa"/>
            </w:tcMar>
            <w:vAlign w:val="center"/>
          </w:tcPr>
          <w:p w14:paraId="3AAC511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计量单位</w:t>
            </w:r>
          </w:p>
        </w:tc>
        <w:tc>
          <w:tcPr>
            <w:tcW w:w="968" w:type="dxa"/>
            <w:shd w:val="clear" w:color="auto" w:fill="FFFFFF"/>
            <w:vAlign w:val="center"/>
          </w:tcPr>
          <w:p w14:paraId="7FAF820B">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数量</w:t>
            </w:r>
          </w:p>
        </w:tc>
        <w:tc>
          <w:tcPr>
            <w:tcW w:w="1200" w:type="dxa"/>
            <w:shd w:val="clear" w:color="auto" w:fill="FFFFFF"/>
            <w:vAlign w:val="center"/>
          </w:tcPr>
          <w:p w14:paraId="0727C6FC">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总</w:t>
            </w:r>
            <w:r>
              <w:rPr>
                <w:rFonts w:hint="eastAsia" w:ascii="仿宋_GB2312" w:hAnsi="仿宋_GB2312" w:eastAsia="仿宋_GB2312" w:cs="仿宋_GB2312"/>
                <w:color w:val="000000" w:themeColor="text1"/>
                <w:kern w:val="0"/>
                <w:sz w:val="28"/>
                <w:szCs w:val="28"/>
                <w14:textFill>
                  <w14:solidFill>
                    <w14:schemeClr w14:val="tx1"/>
                  </w14:solidFill>
                </w14:textFill>
              </w:rPr>
              <w:t>预算</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元</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w:t>
            </w:r>
          </w:p>
        </w:tc>
        <w:tc>
          <w:tcPr>
            <w:tcW w:w="2065" w:type="dxa"/>
            <w:shd w:val="clear" w:color="auto" w:fill="FFFFFF"/>
            <w:tcMar>
              <w:top w:w="0" w:type="dxa"/>
              <w:right w:w="0" w:type="dxa"/>
            </w:tcMar>
            <w:vAlign w:val="center"/>
          </w:tcPr>
          <w:p w14:paraId="0B1CE40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是否进口</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货物类提供</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w:t>
            </w:r>
          </w:p>
        </w:tc>
      </w:tr>
      <w:tr w14:paraId="2F76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tcMar>
              <w:top w:w="0" w:type="dxa"/>
              <w:right w:w="0" w:type="dxa"/>
            </w:tcMar>
            <w:vAlign w:val="center"/>
          </w:tcPr>
          <w:p w14:paraId="4FAF42DE">
            <w:pPr>
              <w:autoSpaceDE w:val="0"/>
              <w:autoSpaceDN w:val="0"/>
              <w:adjustRightInd w:val="0"/>
              <w:jc w:val="center"/>
              <w:rPr>
                <w:rFonts w:hint="default" w:ascii="仿宋_GB2312" w:hAnsi="仿宋_GB2312" w:eastAsia="仿宋_GB2312" w:cs="仿宋_GB2312"/>
                <w:color w:val="5E6B87"/>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 xml:space="preserve">生命体征监测仪 </w:t>
            </w:r>
            <w:r>
              <w:rPr>
                <w:rFonts w:hint="eastAsia" w:ascii="仿宋_GB2312" w:hAnsi="仿宋_GB2312" w:eastAsia="仿宋_GB2312" w:cs="仿宋_GB2312"/>
                <w:color w:val="5E6B87"/>
                <w:kern w:val="0"/>
                <w:sz w:val="28"/>
                <w:szCs w:val="28"/>
                <w:highlight w:val="none"/>
                <w:lang w:val="en-US" w:eastAsia="zh-CN"/>
              </w:rPr>
              <w:t xml:space="preserve"> </w:t>
            </w:r>
          </w:p>
        </w:tc>
        <w:tc>
          <w:tcPr>
            <w:tcW w:w="2602" w:type="dxa"/>
            <w:shd w:val="clear" w:color="auto" w:fill="FFFFFF"/>
            <w:tcMar>
              <w:top w:w="0" w:type="dxa"/>
              <w:right w:w="0" w:type="dxa"/>
            </w:tcMar>
            <w:vAlign w:val="center"/>
          </w:tcPr>
          <w:p w14:paraId="0794CEF9">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A02320300、医用电子生理参数检测仪器设备</w:t>
            </w:r>
          </w:p>
        </w:tc>
        <w:tc>
          <w:tcPr>
            <w:tcW w:w="1330" w:type="dxa"/>
            <w:shd w:val="clear" w:color="auto" w:fill="FFFFFF"/>
            <w:tcMar>
              <w:top w:w="0" w:type="dxa"/>
              <w:right w:w="0" w:type="dxa"/>
            </w:tcMar>
            <w:vAlign w:val="center"/>
          </w:tcPr>
          <w:p w14:paraId="72D4CB52">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 xml:space="preserve">  台  </w:t>
            </w:r>
          </w:p>
        </w:tc>
        <w:tc>
          <w:tcPr>
            <w:tcW w:w="968" w:type="dxa"/>
            <w:shd w:val="clear" w:color="auto" w:fill="FFFFFF"/>
            <w:vAlign w:val="center"/>
          </w:tcPr>
          <w:p w14:paraId="6888F0B6">
            <w:pPr>
              <w:autoSpaceDE w:val="0"/>
              <w:autoSpaceDN w:val="0"/>
              <w:adjustRightInd w:val="0"/>
              <w:jc w:val="center"/>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 xml:space="preserve"> 2   </w:t>
            </w:r>
          </w:p>
        </w:tc>
        <w:tc>
          <w:tcPr>
            <w:tcW w:w="1200" w:type="dxa"/>
            <w:shd w:val="clear" w:color="auto" w:fill="FFFFFF"/>
            <w:vAlign w:val="center"/>
          </w:tcPr>
          <w:p w14:paraId="4C305FEB">
            <w:pPr>
              <w:autoSpaceDE w:val="0"/>
              <w:autoSpaceDN w:val="0"/>
              <w:adjustRightInd w:val="0"/>
              <w:jc w:val="center"/>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 xml:space="preserve">6  </w:t>
            </w:r>
          </w:p>
        </w:tc>
        <w:tc>
          <w:tcPr>
            <w:tcW w:w="2065" w:type="dxa"/>
            <w:shd w:val="clear" w:color="auto" w:fill="FFFFFF"/>
            <w:tcMar>
              <w:top w:w="0" w:type="dxa"/>
              <w:right w:w="0" w:type="dxa"/>
            </w:tcMar>
            <w:vAlign w:val="center"/>
          </w:tcPr>
          <w:p w14:paraId="6562782E">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 xml:space="preserve"> 否   </w:t>
            </w:r>
          </w:p>
        </w:tc>
      </w:tr>
    </w:tbl>
    <w:p w14:paraId="0E3F5DE1">
      <w:pPr>
        <w:numPr>
          <w:ilvl w:val="0"/>
          <w:numId w:val="0"/>
        </w:numPr>
        <w:rPr>
          <w:rFonts w:hint="eastAsia"/>
          <w:b/>
          <w:bCs/>
          <w:lang w:val="en-US" w:eastAsia="zh-CN"/>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按照规定及项目情况设置投标供应商资格要求：</w:t>
      </w:r>
    </w:p>
    <w:p w14:paraId="266F8966">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1、供应商必须具有独立法人资格，具备《营业执照》《税务登记证》《组织机构代码证》或“三证合一”的《营业执照》，并具有相关经营范围（提供相关证明扫描件，原件备查）；</w:t>
      </w:r>
    </w:p>
    <w:p w14:paraId="63B8F8A9">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2、供应商若为生产企业：所投产品为第二、三类医疗器械的，提供食品药品监督管理部门颁发的涵盖所投医疗器械的《医疗器械生产许可证》（有效期内）扫描件，原件备查；</w:t>
      </w:r>
    </w:p>
    <w:p w14:paraId="1CB3EA22">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供应商若为经营企业，所投产品为第二类医疗器械的，提供食品药品监督管理部门颁发的涵盖所投医疗器械的《医疗器械经营备案凭证》（有效期内）扫描件，原件备查；所投产品为第三类医疗器械的，提供食品药品监督管理部门颁发的涵盖所投医疗器械的《医疗器械经营许可证》（有效期内）扫描件，原件备查；</w:t>
      </w:r>
    </w:p>
    <w:p w14:paraId="35825E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lang w:val="en-US" w:eastAsia="zh-CN"/>
        </w:rPr>
      </w:pPr>
      <w:r>
        <w:rPr>
          <w:rFonts w:hint="eastAsia" w:ascii="仿宋_GB2312" w:hAnsi="仿宋_GB2312" w:eastAsia="仿宋_GB2312" w:cs="仿宋_GB2312"/>
          <w:kern w:val="0"/>
          <w:sz w:val="28"/>
          <w:szCs w:val="28"/>
        </w:rPr>
        <w:t>4、供应商提供的设备为第一类医疗器械的，应当提供医疗行业主管部门签发的有效的《医疗器械备案凭证》；供应商提供的设备为第二、三类医疗器械的，应当提供医疗行业主管部门签发的涵盖供应商提供设备的《医疗器械注册证》。供应商应确保货物与注册证或备案凭证所附之产品技术要求相符。如所供产品不属于第一、二、三类医疗器械的，可以不提供《医疗器械备案凭证》或《医疗器械注册证》，但需提供供应商关于所供产品不属于医疗器械的相关说明（加盖供应商公章）。</w:t>
      </w:r>
    </w:p>
    <w:p w14:paraId="4EEEB5CB">
      <w:pP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技术</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服务</w:t>
      </w:r>
      <w:r>
        <w:rPr>
          <w:rFonts w:hint="eastAsia" w:ascii="仿宋_GB2312" w:hAnsi="仿宋_GB2312" w:eastAsia="仿宋_GB2312" w:cs="仿宋_GB2312"/>
          <w:b/>
          <w:bCs/>
          <w:sz w:val="28"/>
          <w:szCs w:val="28"/>
        </w:rPr>
        <w:t>要求与商务要求</w:t>
      </w:r>
      <w:r>
        <w:rPr>
          <w:rFonts w:hint="eastAsia" w:ascii="仿宋_GB2312" w:hAnsi="仿宋_GB2312" w:eastAsia="仿宋_GB2312" w:cs="仿宋_GB2312"/>
          <w:b/>
          <w:bCs/>
          <w:sz w:val="28"/>
          <w:szCs w:val="28"/>
          <w:lang w:eastAsia="zh-CN"/>
        </w:rPr>
        <w:t>：</w:t>
      </w:r>
    </w:p>
    <w:p w14:paraId="3FEA7243">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技术要求</w:t>
      </w:r>
      <w:r>
        <w:rPr>
          <w:rFonts w:hint="eastAsia" w:ascii="仿宋_GB2312" w:hAnsi="仿宋_GB2312" w:eastAsia="仿宋_GB2312" w:cs="仿宋_GB2312"/>
          <w:sz w:val="28"/>
          <w:szCs w:val="28"/>
          <w:lang w:eastAsia="zh-CN"/>
        </w:rPr>
        <w:t>：</w:t>
      </w:r>
    </w:p>
    <w:p w14:paraId="72FA744B">
      <w:pPr>
        <w:numPr>
          <w:ilvl w:val="0"/>
          <w:numId w:val="0"/>
        </w:numPr>
        <w:ind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（包括性能、材料、结构、外观、安全或服务内容和服务标准）</w:t>
      </w:r>
    </w:p>
    <w:tbl>
      <w:tblPr>
        <w:tblStyle w:val="7"/>
        <w:tblW w:w="79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6915"/>
      </w:tblGrid>
      <w:tr w14:paraId="55E09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E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5B6B">
            <w:pPr>
              <w:keepNext w:val="0"/>
              <w:keepLines w:val="0"/>
              <w:widowControl/>
              <w:suppressLineNumbers w:val="0"/>
              <w:jc w:val="center"/>
              <w:textAlignment w:val="center"/>
              <w:rPr>
                <w:rFonts w:hint="eastAsia" w:ascii="宋体" w:hAnsi="宋体" w:eastAsia="宋体" w:cs="宋体"/>
                <w:i w:val="0"/>
                <w:iCs w:val="0"/>
                <w:color w:val="404040"/>
                <w:sz w:val="24"/>
                <w:szCs w:val="24"/>
                <w:u w:val="none"/>
              </w:rPr>
            </w:pPr>
            <w:r>
              <w:rPr>
                <w:rFonts w:hint="eastAsia" w:ascii="宋体" w:hAnsi="宋体" w:eastAsia="宋体" w:cs="宋体"/>
                <w:i w:val="0"/>
                <w:iCs w:val="0"/>
                <w:color w:val="404040"/>
                <w:kern w:val="0"/>
                <w:sz w:val="24"/>
                <w:szCs w:val="24"/>
                <w:u w:val="none"/>
                <w:lang w:val="en-US" w:eastAsia="zh-CN" w:bidi="ar"/>
              </w:rPr>
              <w:t>技术要求</w:t>
            </w:r>
          </w:p>
        </w:tc>
      </w:tr>
      <w:tr w14:paraId="03F4A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4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6504">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用于监测患者的无创血压、血氧、脉搏、体温等参数</w:t>
            </w:r>
          </w:p>
        </w:tc>
      </w:tr>
      <w:tr w14:paraId="06A3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4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CE88">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显示屏：</w:t>
            </w:r>
            <w:r>
              <w:rPr>
                <w:rStyle w:val="16"/>
                <w:lang w:val="en-US" w:eastAsia="zh-CN" w:bidi="ar"/>
              </w:rPr>
              <w:t>≥10英寸彩色触摸屏，分辨率≥1200×800（内置非外接）。</w:t>
            </w:r>
          </w:p>
        </w:tc>
      </w:tr>
      <w:tr w14:paraId="5D7C6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E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F568">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防水与消毒：</w:t>
            </w:r>
            <w:r>
              <w:rPr>
                <w:rStyle w:val="16"/>
                <w:lang w:val="en-US" w:eastAsia="zh-CN" w:bidi="ar"/>
              </w:rPr>
              <w:t>IPX2级防水，支持≥20种消毒剂清洁（</w:t>
            </w:r>
            <w:r>
              <w:rPr>
                <w:rStyle w:val="16"/>
                <w:rFonts w:hint="eastAsia"/>
                <w:lang w:val="en-US" w:eastAsia="zh-CN" w:bidi="ar"/>
              </w:rPr>
              <w:t>提供所投产品①注册证技术要求关键信息页或②技术白皮书或③说明书扫描件或④所投产品功能截图(证明材料要求内容能体现满足上述参数</w:t>
            </w:r>
            <w:r>
              <w:rPr>
                <w:rStyle w:val="16"/>
                <w:lang w:val="en-US" w:eastAsia="zh-CN" w:bidi="ar"/>
              </w:rPr>
              <w:t>）。</w:t>
            </w:r>
          </w:p>
        </w:tc>
      </w:tr>
      <w:tr w14:paraId="6EEBF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A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46C1">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指示灯：</w:t>
            </w:r>
            <w:r>
              <w:rPr>
                <w:rStyle w:val="16"/>
                <w:lang w:val="en-US" w:eastAsia="zh-CN" w:bidi="ar"/>
              </w:rPr>
              <w:t>≥4个独立LED（报警3色、电池2色，非屏幕集成。（</w:t>
            </w:r>
            <w:r>
              <w:rPr>
                <w:rStyle w:val="16"/>
                <w:rFonts w:hint="eastAsia"/>
                <w:lang w:val="en-US" w:eastAsia="zh-CN" w:bidi="ar"/>
              </w:rPr>
              <w:t>提供所投产品①注册证技术要求关键信息页或②技术白皮书或③说明书扫描件或④所投产品功能截图(证明材料要求内容能体现满足上述参数</w:t>
            </w:r>
            <w:r>
              <w:rPr>
                <w:rStyle w:val="16"/>
                <w:lang w:val="en-US" w:eastAsia="zh-CN" w:bidi="ar"/>
              </w:rPr>
              <w:t>）。</w:t>
            </w:r>
          </w:p>
        </w:tc>
      </w:tr>
      <w:tr w14:paraId="0C41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8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DCCA">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无创血压（</w:t>
            </w:r>
            <w:r>
              <w:rPr>
                <w:rStyle w:val="16"/>
                <w:lang w:val="en-US" w:eastAsia="zh-CN" w:bidi="ar"/>
              </w:rPr>
              <w:t>NIBP）：15秒快速测量，支持平均值及直立性血压；6种测量模式（手动/自动/连续/序列/整点/平均）。</w:t>
            </w:r>
          </w:p>
        </w:tc>
      </w:tr>
      <w:tr w14:paraId="19540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1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6F2E">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血氧（</w:t>
            </w:r>
            <w:r>
              <w:rPr>
                <w:rStyle w:val="16"/>
                <w:lang w:val="en-US" w:eastAsia="zh-CN" w:bidi="ar"/>
              </w:rPr>
              <w:t>SpO2）：双配置（Mindray/Nellcor），PI血流灌注指数，分辨率≤1%。</w:t>
            </w:r>
          </w:p>
        </w:tc>
      </w:tr>
      <w:tr w14:paraId="1824A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8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37B4">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扩展监测：支持</w:t>
            </w:r>
            <w:r>
              <w:rPr>
                <w:rStyle w:val="16"/>
                <w:lang w:val="en-US" w:eastAsia="zh-CN" w:bidi="ar"/>
              </w:rPr>
              <w:t>CO2监测升级，体温、血氧、血压为CF型。</w:t>
            </w:r>
          </w:p>
        </w:tc>
      </w:tr>
      <w:tr w14:paraId="2417C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1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0EB7">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支持</w:t>
            </w:r>
            <w:r>
              <w:rPr>
                <w:rStyle w:val="16"/>
                <w:lang w:val="en-US" w:eastAsia="zh-CN" w:bidi="ar"/>
              </w:rPr>
              <w:t>HL7格式发送生命体征至指定IP（需兼容500+设备接入，接口费用由中标方承担）。</w:t>
            </w:r>
          </w:p>
        </w:tc>
      </w:tr>
      <w:tr w14:paraId="42A4C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F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3085">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自动化写入护理系统，支持中央监护系统远程修改患者信息及时间同步。</w:t>
            </w:r>
          </w:p>
        </w:tc>
      </w:tr>
      <w:tr w14:paraId="2BCCC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9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1588">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加密与端口：</w:t>
            </w:r>
            <w:r>
              <w:rPr>
                <w:rStyle w:val="16"/>
                <w:lang w:val="en-US" w:eastAsia="zh-CN" w:bidi="ar"/>
              </w:rPr>
              <w:t>WIFI支持TKIP/AES加密；端口管理系统需符合院内网络安全要求。</w:t>
            </w:r>
          </w:p>
        </w:tc>
      </w:tr>
      <w:tr w14:paraId="2007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A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7F7A">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电池与便携性：</w:t>
            </w:r>
            <w:r>
              <w:rPr>
                <w:rStyle w:val="16"/>
                <w:lang w:val="en-US" w:eastAsia="zh-CN" w:bidi="ar"/>
              </w:rPr>
              <w:t>8小时续航，≤2.5kg主机，配备推车；关机延迟≥20分钟。</w:t>
            </w:r>
          </w:p>
        </w:tc>
      </w:tr>
      <w:tr w14:paraId="4179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B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37B8">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评分工具：内置</w:t>
            </w:r>
            <w:r>
              <w:rPr>
                <w:rStyle w:val="16"/>
                <w:lang w:val="en-US" w:eastAsia="zh-CN" w:bidi="ar"/>
              </w:rPr>
              <w:t>EWS早期预警、图形化疼痛评分模板，支持自定义评分。</w:t>
            </w:r>
          </w:p>
        </w:tc>
      </w:tr>
      <w:tr w14:paraId="7AA2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7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5DF9">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新生儿筛查：可选</w:t>
            </w:r>
            <w:r>
              <w:rPr>
                <w:rStyle w:val="16"/>
                <w:lang w:val="en-US" w:eastAsia="zh-CN" w:bidi="ar"/>
              </w:rPr>
              <w:t>CCHD工具，用于先天性心脏病筛查。</w:t>
            </w:r>
          </w:p>
        </w:tc>
      </w:tr>
    </w:tbl>
    <w:p w14:paraId="028B3791">
      <w:pPr>
        <w:numPr>
          <w:ilvl w:val="0"/>
          <w:numId w:val="0"/>
        </w:numPr>
        <w:ind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配置清单</w:t>
      </w:r>
    </w:p>
    <w:tbl>
      <w:tblPr>
        <w:tblStyle w:val="7"/>
        <w:tblW w:w="80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4178"/>
        <w:gridCol w:w="1320"/>
        <w:gridCol w:w="1430"/>
      </w:tblGrid>
      <w:tr w14:paraId="03B01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5255">
            <w:pPr>
              <w:keepNext w:val="0"/>
              <w:keepLines w:val="0"/>
              <w:widowControl/>
              <w:suppressLineNumbers w:val="0"/>
              <w:jc w:val="center"/>
              <w:textAlignment w:val="center"/>
              <w:rPr>
                <w:rFonts w:hint="eastAsia" w:ascii="宋体" w:hAnsi="宋体" w:eastAsia="宋体" w:cs="宋体"/>
                <w:i w:val="0"/>
                <w:iCs w:val="0"/>
                <w:color w:val="404040"/>
                <w:sz w:val="22"/>
                <w:szCs w:val="22"/>
                <w:u w:val="none"/>
              </w:rPr>
            </w:pPr>
            <w:r>
              <w:rPr>
                <w:rFonts w:hint="eastAsia" w:ascii="宋体" w:hAnsi="宋体" w:eastAsia="宋体" w:cs="宋体"/>
                <w:i w:val="0"/>
                <w:iCs w:val="0"/>
                <w:color w:val="404040"/>
                <w:kern w:val="0"/>
                <w:sz w:val="22"/>
                <w:szCs w:val="22"/>
                <w:u w:val="none"/>
                <w:lang w:val="en-US" w:eastAsia="zh-CN" w:bidi="ar"/>
              </w:rPr>
              <w:t>序号</w:t>
            </w:r>
          </w:p>
        </w:tc>
        <w:tc>
          <w:tcPr>
            <w:tcW w:w="4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7B0B">
            <w:pPr>
              <w:keepNext w:val="0"/>
              <w:keepLines w:val="0"/>
              <w:widowControl/>
              <w:suppressLineNumbers w:val="0"/>
              <w:jc w:val="center"/>
              <w:textAlignment w:val="center"/>
              <w:rPr>
                <w:rFonts w:hint="eastAsia" w:ascii="宋体" w:hAnsi="宋体" w:eastAsia="宋体" w:cs="宋体"/>
                <w:i w:val="0"/>
                <w:iCs w:val="0"/>
                <w:color w:val="404040"/>
                <w:sz w:val="22"/>
                <w:szCs w:val="22"/>
                <w:u w:val="none"/>
              </w:rPr>
            </w:pPr>
            <w:r>
              <w:rPr>
                <w:rFonts w:hint="eastAsia" w:ascii="宋体" w:hAnsi="宋体" w:eastAsia="宋体" w:cs="宋体"/>
                <w:i w:val="0"/>
                <w:iCs w:val="0"/>
                <w:color w:val="404040"/>
                <w:kern w:val="0"/>
                <w:sz w:val="22"/>
                <w:szCs w:val="22"/>
                <w:u w:val="none"/>
                <w:lang w:val="en-US" w:eastAsia="zh-CN" w:bidi="ar"/>
              </w:rPr>
              <w:t>货物名称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AA81">
            <w:pPr>
              <w:keepNext w:val="0"/>
              <w:keepLines w:val="0"/>
              <w:widowControl/>
              <w:suppressLineNumbers w:val="0"/>
              <w:jc w:val="center"/>
              <w:textAlignment w:val="center"/>
              <w:rPr>
                <w:rFonts w:hint="eastAsia" w:ascii="宋体" w:hAnsi="宋体" w:eastAsia="宋体" w:cs="宋体"/>
                <w:i w:val="0"/>
                <w:iCs w:val="0"/>
                <w:color w:val="404040"/>
                <w:sz w:val="22"/>
                <w:szCs w:val="22"/>
                <w:u w:val="none"/>
              </w:rPr>
            </w:pPr>
            <w:r>
              <w:rPr>
                <w:rFonts w:hint="eastAsia" w:ascii="宋体" w:hAnsi="宋体" w:eastAsia="宋体" w:cs="宋体"/>
                <w:i w:val="0"/>
                <w:iCs w:val="0"/>
                <w:color w:val="404040"/>
                <w:kern w:val="0"/>
                <w:sz w:val="22"/>
                <w:szCs w:val="22"/>
                <w:u w:val="none"/>
                <w:lang w:val="en-US" w:eastAsia="zh-CN" w:bidi="ar"/>
              </w:rPr>
              <w:t>数量</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F8D7">
            <w:pPr>
              <w:keepNext w:val="0"/>
              <w:keepLines w:val="0"/>
              <w:widowControl/>
              <w:suppressLineNumbers w:val="0"/>
              <w:jc w:val="center"/>
              <w:textAlignment w:val="center"/>
              <w:rPr>
                <w:rFonts w:hint="eastAsia" w:ascii="宋体" w:hAnsi="宋体" w:eastAsia="宋体" w:cs="宋体"/>
                <w:i w:val="0"/>
                <w:iCs w:val="0"/>
                <w:color w:val="404040"/>
                <w:sz w:val="22"/>
                <w:szCs w:val="22"/>
                <w:u w:val="none"/>
              </w:rPr>
            </w:pPr>
            <w:r>
              <w:rPr>
                <w:rFonts w:hint="eastAsia" w:ascii="宋体" w:hAnsi="宋体" w:eastAsia="宋体" w:cs="宋体"/>
                <w:i w:val="0"/>
                <w:iCs w:val="0"/>
                <w:color w:val="404040"/>
                <w:kern w:val="0"/>
                <w:sz w:val="22"/>
                <w:szCs w:val="22"/>
                <w:u w:val="none"/>
                <w:lang w:val="en-US" w:eastAsia="zh-CN" w:bidi="ar"/>
              </w:rPr>
              <w:t>单位</w:t>
            </w:r>
          </w:p>
        </w:tc>
      </w:tr>
      <w:tr w14:paraId="35B3E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5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E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主机</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96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bookmarkStart w:id="0" w:name="_GoBack"/>
            <w:bookmarkEnd w:id="0"/>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8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14:paraId="65FE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6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0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扫码枪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4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3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16E1F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9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D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彩色触摸屏</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9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6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r>
      <w:tr w14:paraId="154A9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F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8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锂电池</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3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7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r>
      <w:tr w14:paraId="04832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8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2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便携推车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9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F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bl>
    <w:p w14:paraId="77F4279D">
      <w:pPr>
        <w:numPr>
          <w:ilvl w:val="0"/>
          <w:numId w:val="0"/>
        </w:numPr>
        <w:ind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配套耗材：</w:t>
      </w:r>
    </w:p>
    <w:p w14:paraId="71252779">
      <w:pPr>
        <w:numPr>
          <w:ilvl w:val="0"/>
          <w:numId w:val="0"/>
        </w:numPr>
        <w:ind w:leftChars="0"/>
        <w:jc w:val="left"/>
        <w:rPr>
          <w:rFonts w:hint="default" w:ascii="仿宋_GB2312" w:hAnsi="仿宋_GB2312" w:eastAsia="仿宋_GB2312" w:cs="仿宋_GB2312"/>
          <w:sz w:val="28"/>
          <w:szCs w:val="28"/>
          <w:highlight w:val="yellow"/>
          <w:lang w:val="en-US" w:eastAsia="zh-CN"/>
        </w:rPr>
      </w:pPr>
      <w:r>
        <w:rPr>
          <w:rFonts w:hint="eastAsia" w:ascii="仿宋_GB2312" w:hAnsi="仿宋_GB2312" w:eastAsia="仿宋_GB2312" w:cs="仿宋_GB2312"/>
          <w:sz w:val="28"/>
          <w:szCs w:val="28"/>
          <w:highlight w:val="yellow"/>
        </w:rPr>
        <w:t>1</w:t>
      </w:r>
      <w:r>
        <w:rPr>
          <w:rFonts w:hint="eastAsia" w:ascii="仿宋_GB2312" w:hAnsi="仿宋_GB2312" w:eastAsia="仿宋_GB2312" w:cs="仿宋_GB2312"/>
          <w:sz w:val="28"/>
          <w:szCs w:val="28"/>
          <w:highlight w:val="yellow"/>
        </w:rPr>
        <w:tab/>
      </w:r>
      <w:r>
        <w:rPr>
          <w:rFonts w:hint="eastAsia" w:ascii="仿宋_GB2312" w:hAnsi="仿宋_GB2312" w:eastAsia="仿宋_GB2312" w:cs="仿宋_GB2312"/>
          <w:sz w:val="28"/>
          <w:szCs w:val="28"/>
          <w:highlight w:val="yellow"/>
          <w:lang w:val="en-US" w:eastAsia="zh-CN"/>
        </w:rPr>
        <w:t>无专用耗材</w:t>
      </w:r>
    </w:p>
    <w:p w14:paraId="21230C9A">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商务要求：</w:t>
      </w:r>
    </w:p>
    <w:tbl>
      <w:tblPr>
        <w:tblStyle w:val="7"/>
        <w:tblW w:w="9698" w:type="dxa"/>
        <w:jc w:val="center"/>
        <w:tblLayout w:type="fixed"/>
        <w:tblCellMar>
          <w:top w:w="0" w:type="dxa"/>
          <w:left w:w="108" w:type="dxa"/>
          <w:bottom w:w="0" w:type="dxa"/>
          <w:right w:w="108" w:type="dxa"/>
        </w:tblCellMar>
      </w:tblPr>
      <w:tblGrid>
        <w:gridCol w:w="717"/>
        <w:gridCol w:w="543"/>
        <w:gridCol w:w="1452"/>
        <w:gridCol w:w="6986"/>
      </w:tblGrid>
      <w:tr w14:paraId="7FE73A07">
        <w:tblPrEx>
          <w:tblCellMar>
            <w:top w:w="0" w:type="dxa"/>
            <w:left w:w="108" w:type="dxa"/>
            <w:bottom w:w="0" w:type="dxa"/>
            <w:right w:w="108" w:type="dxa"/>
          </w:tblCellMar>
        </w:tblPrEx>
        <w:trPr>
          <w:trHeight w:val="780"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BCB8">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序号</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1F120">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商务需求项</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3519">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商务要求</w:t>
            </w:r>
          </w:p>
        </w:tc>
      </w:tr>
      <w:tr w14:paraId="759C975C">
        <w:tblPrEx>
          <w:tblCellMar>
            <w:top w:w="0" w:type="dxa"/>
            <w:left w:w="108" w:type="dxa"/>
            <w:bottom w:w="0" w:type="dxa"/>
            <w:right w:w="108" w:type="dxa"/>
          </w:tblCellMar>
        </w:tblPrEx>
        <w:trPr>
          <w:trHeight w:val="780" w:hRule="atLeast"/>
          <w:jc w:val="center"/>
        </w:trPr>
        <w:tc>
          <w:tcPr>
            <w:tcW w:w="96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67939B">
            <w:pPr>
              <w:widowControl/>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（一）免费保修期内售后服务要求</w:t>
            </w:r>
          </w:p>
        </w:tc>
      </w:tr>
      <w:tr w14:paraId="01B473B8">
        <w:tblPrEx>
          <w:tblCellMar>
            <w:top w:w="0" w:type="dxa"/>
            <w:left w:w="108" w:type="dxa"/>
            <w:bottom w:w="0" w:type="dxa"/>
            <w:right w:w="108" w:type="dxa"/>
          </w:tblCellMar>
        </w:tblPrEx>
        <w:trPr>
          <w:trHeight w:val="750" w:hRule="atLeast"/>
          <w:jc w:val="center"/>
        </w:trPr>
        <w:tc>
          <w:tcPr>
            <w:tcW w:w="717" w:type="dxa"/>
            <w:vMerge w:val="restart"/>
            <w:tcBorders>
              <w:top w:val="single" w:color="000000" w:sz="4" w:space="0"/>
              <w:left w:val="single" w:color="000000" w:sz="4" w:space="0"/>
              <w:right w:val="single" w:color="000000" w:sz="4" w:space="0"/>
            </w:tcBorders>
            <w:shd w:val="clear" w:color="auto" w:fill="auto"/>
            <w:vAlign w:val="center"/>
          </w:tcPr>
          <w:p w14:paraId="078998DE">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w:t>
            </w:r>
          </w:p>
        </w:tc>
        <w:tc>
          <w:tcPr>
            <w:tcW w:w="543" w:type="dxa"/>
            <w:vMerge w:val="restart"/>
            <w:tcBorders>
              <w:top w:val="single" w:color="000000" w:sz="4" w:space="0"/>
              <w:left w:val="single" w:color="000000" w:sz="4" w:space="0"/>
              <w:right w:val="single" w:color="000000" w:sz="4" w:space="0"/>
            </w:tcBorders>
            <w:shd w:val="clear" w:color="auto" w:fill="auto"/>
            <w:vAlign w:val="center"/>
          </w:tcPr>
          <w:p w14:paraId="61F485EB">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免费保修期</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8DC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FF83">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设备原厂（含附件）免费保修期为</w:t>
            </w:r>
            <w:r>
              <w:rPr>
                <w:rStyle w:val="14"/>
                <w:rFonts w:hint="default" w:hAnsi="宋体"/>
                <w:highlight w:val="yellow"/>
              </w:rPr>
              <w:t>5</w:t>
            </w:r>
            <w:r>
              <w:rPr>
                <w:rStyle w:val="15"/>
                <w:rFonts w:hint="default" w:hAnsi="宋体"/>
              </w:rPr>
              <w:t>年，自验收报告签字之日开始计算。</w:t>
            </w:r>
            <w:r>
              <w:rPr>
                <w:rStyle w:val="15"/>
                <w:rFonts w:hint="default" w:hAnsi="宋体"/>
                <w:color w:val="000000" w:themeColor="text1"/>
                <w:highlight w:val="none"/>
                <w14:textFill>
                  <w14:solidFill>
                    <w14:schemeClr w14:val="tx1"/>
                  </w14:solidFill>
                </w14:textFill>
              </w:rPr>
              <w:t>但国家有关法律法</w:t>
            </w:r>
            <w:r>
              <w:rPr>
                <w:rStyle w:val="15"/>
                <w:rFonts w:hint="eastAsia" w:hAnsi="宋体" w:eastAsia="仿宋_GB2312"/>
                <w:color w:val="000000" w:themeColor="text1"/>
                <w:highlight w:val="none"/>
                <w:lang w:eastAsia="zh-CN"/>
                <w14:textFill>
                  <w14:solidFill>
                    <w14:schemeClr w14:val="tx1"/>
                  </w14:solidFill>
                </w14:textFill>
              </w:rPr>
              <w:t>规和</w:t>
            </w:r>
            <w:r>
              <w:rPr>
                <w:rStyle w:val="15"/>
                <w:rFonts w:hint="default" w:hAnsi="宋体"/>
                <w:color w:val="000000" w:themeColor="text1"/>
                <w:highlight w:val="none"/>
                <w14:textFill>
                  <w14:solidFill>
                    <w14:schemeClr w14:val="tx1"/>
                  </w14:solidFill>
                </w14:textFill>
              </w:rPr>
              <w:t>规章的规定、“三包”规定、生产厂商的声明、招标/采购文件的要求及投标人在投标文件/应答文件的有关保修期的承诺长于本合同约定的免费保修期的，取其中期限最长者作为本合同项下货物的免费保修期。</w:t>
            </w:r>
          </w:p>
        </w:tc>
      </w:tr>
      <w:tr w14:paraId="5F051386">
        <w:tblPrEx>
          <w:tblCellMar>
            <w:top w:w="0" w:type="dxa"/>
            <w:left w:w="108" w:type="dxa"/>
            <w:bottom w:w="0" w:type="dxa"/>
            <w:right w:w="108" w:type="dxa"/>
          </w:tblCellMar>
        </w:tblPrEx>
        <w:trPr>
          <w:trHeight w:val="590" w:hRule="atLeast"/>
          <w:jc w:val="center"/>
        </w:trPr>
        <w:tc>
          <w:tcPr>
            <w:tcW w:w="717" w:type="dxa"/>
            <w:vMerge w:val="continue"/>
            <w:tcBorders>
              <w:left w:val="single" w:color="000000" w:sz="4" w:space="0"/>
              <w:right w:val="single" w:color="000000" w:sz="4" w:space="0"/>
            </w:tcBorders>
            <w:shd w:val="clear" w:color="auto" w:fill="auto"/>
            <w:vAlign w:val="center"/>
          </w:tcPr>
          <w:p w14:paraId="75FAF258">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55076F1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2A6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09B1">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因质量问题造成设备全部或部分停止使用的时间，保修期予以相应的延长。在保修期内</w:t>
            </w:r>
            <w:r>
              <w:rPr>
                <w:rFonts w:hint="eastAsia" w:ascii="仿宋_GB2312" w:hAnsi="宋体" w:eastAsia="仿宋_GB2312" w:cs="仿宋_GB2312"/>
                <w:color w:val="000000"/>
                <w:kern w:val="0"/>
                <w:sz w:val="28"/>
                <w:szCs w:val="28"/>
                <w:lang w:val="en-US" w:eastAsia="zh-CN"/>
              </w:rPr>
              <w:t>投标人</w:t>
            </w:r>
            <w:r>
              <w:rPr>
                <w:rFonts w:hint="eastAsia" w:ascii="仿宋_GB2312" w:hAnsi="宋体" w:eastAsia="仿宋_GB2312" w:cs="仿宋_GB2312"/>
                <w:color w:val="000000"/>
                <w:kern w:val="0"/>
                <w:sz w:val="28"/>
                <w:szCs w:val="28"/>
              </w:rPr>
              <w:t>将免费维修和更换属质量原因造成的零部件损坏，保修期外零部件的损坏，提供的配件只收配件成本费。保修期满后，</w:t>
            </w:r>
            <w:r>
              <w:rPr>
                <w:rFonts w:hint="eastAsia" w:ascii="仿宋_GB2312" w:hAnsi="宋体" w:eastAsia="仿宋_GB2312" w:cs="仿宋_GB2312"/>
                <w:color w:val="000000"/>
                <w:kern w:val="0"/>
                <w:sz w:val="28"/>
                <w:szCs w:val="28"/>
                <w:lang w:val="en-US" w:eastAsia="zh-CN"/>
              </w:rPr>
              <w:t>投标人</w:t>
            </w:r>
            <w:r>
              <w:rPr>
                <w:rFonts w:hint="eastAsia" w:ascii="仿宋_GB2312" w:hAnsi="宋体" w:eastAsia="仿宋_GB2312" w:cs="仿宋_GB2312"/>
                <w:color w:val="000000"/>
                <w:kern w:val="0"/>
                <w:sz w:val="28"/>
                <w:szCs w:val="28"/>
              </w:rPr>
              <w:t>还必须提供设备的终身维护。</w:t>
            </w:r>
          </w:p>
        </w:tc>
      </w:tr>
      <w:tr w14:paraId="1816743B">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right w:val="single" w:color="000000" w:sz="4" w:space="0"/>
            </w:tcBorders>
            <w:shd w:val="clear" w:color="auto" w:fill="auto"/>
            <w:vAlign w:val="center"/>
          </w:tcPr>
          <w:p w14:paraId="06EFF758">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7CEA99B3">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D434">
            <w:pPr>
              <w:widowControl/>
              <w:jc w:val="center"/>
              <w:textAlignment w:val="center"/>
              <w:rPr>
                <w:rFonts w:hint="eastAsia" w:ascii="仿宋_GB2312" w:hAnsi="宋体" w:eastAsia="仿宋_GB2312" w:cs="仿宋_GB2312"/>
                <w:b/>
                <w:bCs/>
                <w:color w:val="000000"/>
                <w:kern w:val="2"/>
                <w:sz w:val="28"/>
                <w:szCs w:val="28"/>
                <w:lang w:val="en-US" w:eastAsia="zh-CN" w:bidi="ar-SA"/>
              </w:rPr>
            </w:pPr>
            <w:r>
              <w:rPr>
                <w:rFonts w:hint="eastAsia" w:ascii="仿宋_GB2312" w:hAnsi="宋体" w:eastAsia="仿宋_GB2312" w:cs="仿宋_GB2312"/>
                <w:b/>
                <w:bCs/>
                <w:color w:val="000000"/>
                <w:kern w:val="0"/>
                <w:sz w:val="28"/>
                <w:szCs w:val="28"/>
              </w:rPr>
              <w:t>1.3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0954">
            <w:pPr>
              <w:widowControl/>
              <w:textAlignment w:val="center"/>
              <w:rPr>
                <w:rFonts w:hint="eastAsia" w:ascii="仿宋_GB2312" w:hAnsi="宋体" w:eastAsia="仿宋_GB2312" w:cs="仿宋_GB2312"/>
                <w:color w:val="000000"/>
                <w:kern w:val="2"/>
                <w:sz w:val="28"/>
                <w:szCs w:val="28"/>
                <w:lang w:val="en-US" w:eastAsia="zh-CN" w:bidi="ar-SA"/>
              </w:rPr>
            </w:pPr>
            <w:r>
              <w:rPr>
                <w:rFonts w:hint="eastAsia" w:ascii="仿宋_GB2312" w:hAnsi="宋体" w:eastAsia="仿宋_GB2312" w:cs="仿宋_GB2312"/>
                <w:color w:val="000000"/>
                <w:kern w:val="0"/>
                <w:sz w:val="28"/>
                <w:szCs w:val="28"/>
              </w:rPr>
              <w:t>由生产厂家提供售后服务，生产厂家有固定、专业的售后服务机构，有受过专业培训的售后服务人员对采购人单位使用人员进行设备的基本结构、性能，日常的使用保养方法，紧急情况处理等相关内容的培训，并对采购人维修工程师进行工作原理，操作使用、维修维护、常见故障排除方法培训，使其熟悉设备的运行环境，并对设备的性能有详细的了解和熟练掌握设备的使用方法，不定期到采购单位巡检、每半年按采购人要求无条件提供预防性维护检测报告，以及每年按采购人要求无条件进行仪器校准，并出具校准报告（投标人不得向采购人收取额外的费用），及时发现和处理问题，确保设备正常和安全使用并得到良好的维护保养，</w:t>
            </w:r>
            <w:r>
              <w:rPr>
                <w:rFonts w:hint="default" w:ascii="仿宋_GB2312" w:hAnsi="宋体" w:eastAsia="仿宋_GB2312" w:cs="仿宋_GB2312"/>
                <w:color w:val="000000"/>
                <w:kern w:val="0"/>
                <w:sz w:val="28"/>
                <w:szCs w:val="28"/>
                <w:lang w:val="en-US"/>
              </w:rPr>
              <w:t>同时</w:t>
            </w:r>
            <w:r>
              <w:rPr>
                <w:rFonts w:hint="eastAsia" w:ascii="仿宋_GB2312" w:hAnsi="宋体" w:eastAsia="仿宋_GB2312" w:cs="仿宋_GB2312"/>
                <w:color w:val="000000"/>
                <w:kern w:val="0"/>
                <w:sz w:val="28"/>
                <w:szCs w:val="28"/>
              </w:rPr>
              <w:t>提供售后服务机构地址、负责人名单、工程师名单、联系电话。在保修期内，机器若发生故障，维修人员须在4小时内响应，24小时内维修到位，对到达现场后24个工作小时内不能解决的故障，投标人须提供样机应急，所更换的零配件须为通过原厂认证的合格零配件。</w:t>
            </w:r>
          </w:p>
        </w:tc>
      </w:tr>
      <w:tr w14:paraId="26CC142D">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right w:val="single" w:color="000000" w:sz="4" w:space="0"/>
            </w:tcBorders>
            <w:shd w:val="clear" w:color="auto" w:fill="auto"/>
            <w:vAlign w:val="center"/>
          </w:tcPr>
          <w:p w14:paraId="2601B5E6">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544F3D8B">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69EE">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val="0"/>
                <w:bCs w:val="0"/>
                <w:color w:val="000000" w:themeColor="text1"/>
                <w:kern w:val="0"/>
                <w:sz w:val="28"/>
                <w:szCs w:val="28"/>
                <w:highlight w:val="none"/>
                <w14:textFill>
                  <w14:solidFill>
                    <w14:schemeClr w14:val="tx1"/>
                  </w14:solidFill>
                </w14:textFill>
              </w:rPr>
              <w:t>1.4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B22A">
            <w:pPr>
              <w:widowControl/>
              <w:textAlignment w:val="center"/>
              <w:rPr>
                <w:rFonts w:hint="eastAsia" w:ascii="仿宋_GB2312" w:hAnsi="宋体" w:eastAsia="仿宋_GB2312" w:cs="仿宋_GB2312"/>
                <w:color w:val="000000" w:themeColor="text1"/>
                <w:kern w:val="0"/>
                <w:sz w:val="28"/>
                <w:szCs w:val="28"/>
                <w:highlight w:val="none"/>
                <w14:textFill>
                  <w14:solidFill>
                    <w14:schemeClr w14:val="tx1"/>
                  </w14:solidFill>
                </w14:textFill>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在保修期内，投标人必须保证设备的年正常开机率&gt;95%，若不能达到此开机率，将作以下处理：（1）年正常开机率在＞90且≤95%之间按一赔二延长保修期（即停机一天延长保修期二天）；</w:t>
            </w:r>
          </w:p>
          <w:p w14:paraId="4AD25A67">
            <w:pPr>
              <w:widowControl/>
              <w:textAlignment w:val="center"/>
              <w:rPr>
                <w:rFonts w:hint="eastAsia" w:ascii="仿宋_GB2312" w:hAnsi="宋体" w:eastAsia="仿宋_GB2312" w:cs="仿宋_GB2312"/>
                <w:color w:val="000000" w:themeColor="text1"/>
                <w:kern w:val="0"/>
                <w:sz w:val="28"/>
                <w:szCs w:val="28"/>
                <w:highlight w:val="none"/>
                <w14:textFill>
                  <w14:solidFill>
                    <w14:schemeClr w14:val="tx1"/>
                  </w14:solidFill>
                </w14:textFill>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（2）年正常开机率在＞85且≤90%之间按一赔五延长保修期（即停机一天延长保修期五天）；</w:t>
            </w:r>
          </w:p>
          <w:p w14:paraId="35E35190">
            <w:pPr>
              <w:widowControl/>
              <w:textAlignment w:val="center"/>
              <w:rPr>
                <w:rFonts w:hint="eastAsia" w:ascii="仿宋_GB2312" w:hAnsi="宋体" w:eastAsia="仿宋_GB2312" w:cs="仿宋_GB2312"/>
                <w:color w:val="000000" w:themeColor="text1"/>
                <w:kern w:val="0"/>
                <w:sz w:val="28"/>
                <w:szCs w:val="28"/>
                <w:highlight w:val="none"/>
                <w14:textFill>
                  <w14:solidFill>
                    <w14:schemeClr w14:val="tx1"/>
                  </w14:solidFill>
                </w14:textFill>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3）年正常开机率≤85%，投标人必须无条件更换新机，重新计算保修期，并赔偿采购人的直接经济损失和间接经济损失。注：年正常开机率=（365-停机天数）/365。其中，间接经济损失可按采购人或同等级医院相同或具备同等功能的货物，最近连续6个月的日平均诊疗服务收入作为计算基数，按日自停机之日起计算至投标人提供替代货物投入正常运行之日止</w:t>
            </w:r>
          </w:p>
        </w:tc>
      </w:tr>
      <w:tr w14:paraId="46B3E836">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bottom w:val="single" w:color="000000" w:sz="4" w:space="0"/>
              <w:right w:val="single" w:color="000000" w:sz="4" w:space="0"/>
            </w:tcBorders>
            <w:shd w:val="clear" w:color="auto" w:fill="auto"/>
            <w:vAlign w:val="center"/>
          </w:tcPr>
          <w:p w14:paraId="28A385F1">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bottom w:val="single" w:color="000000" w:sz="4" w:space="0"/>
              <w:right w:val="single" w:color="000000" w:sz="4" w:space="0"/>
            </w:tcBorders>
            <w:shd w:val="clear" w:color="auto" w:fill="auto"/>
            <w:vAlign w:val="center"/>
          </w:tcPr>
          <w:p w14:paraId="48CEDF2F">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510D">
            <w:pPr>
              <w:widowControl/>
              <w:jc w:val="left"/>
              <w:textAlignment w:val="center"/>
              <w:rPr>
                <w:rFonts w:hint="eastAsia" w:ascii="仿宋_GB2312" w:hAnsi="宋体" w:eastAsia="仿宋_GB2312" w:cs="仿宋_GB2312"/>
                <w:b w:val="0"/>
                <w:bCs w:val="0"/>
                <w:color w:val="000000" w:themeColor="text1"/>
                <w:kern w:val="0"/>
                <w:sz w:val="28"/>
                <w:szCs w:val="28"/>
                <w:highlight w:val="none"/>
                <w:lang w:val="en-US" w:eastAsia="zh-CN" w:bidi="ar-SA"/>
                <w14:textFill>
                  <w14:solidFill>
                    <w14:schemeClr w14:val="tx1"/>
                  </w14:solidFill>
                </w14:textFill>
              </w:rPr>
            </w:pPr>
            <w:r>
              <w:rPr>
                <w:rFonts w:hint="eastAsia" w:ascii="仿宋_GB2312" w:hAnsi="宋体" w:eastAsia="仿宋_GB2312" w:cs="仿宋_GB2312"/>
                <w:b w:val="0"/>
                <w:bCs w:val="0"/>
                <w:color w:val="000000" w:themeColor="text1"/>
                <w:kern w:val="0"/>
                <w:sz w:val="28"/>
                <w:szCs w:val="28"/>
                <w:highlight w:val="none"/>
                <w14:textFill>
                  <w14:solidFill>
                    <w14:schemeClr w14:val="tx1"/>
                  </w14:solidFill>
                </w14:textFill>
              </w:rPr>
              <w:t>1.5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95E4">
            <w:pPr>
              <w:widowControl/>
              <w:textAlignment w:val="center"/>
              <w:rPr>
                <w:rFonts w:hint="eastAsia" w:ascii="仿宋_GB2312" w:hAnsi="宋体" w:eastAsia="仿宋_GB2312" w:cs="仿宋_GB2312"/>
                <w:color w:val="000000" w:themeColor="text1"/>
                <w:kern w:val="0"/>
                <w:sz w:val="28"/>
                <w:szCs w:val="28"/>
                <w:highlight w:val="none"/>
                <w:lang w:val="en-US" w:eastAsia="zh-CN" w:bidi="ar-SA"/>
                <w14:textFill>
                  <w14:solidFill>
                    <w14:schemeClr w14:val="tx1"/>
                  </w14:solidFill>
                </w14:textFill>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投标人交付的货物经验收合格后，在保修期内连续三个月内频繁（平均每月1次或1次以上）出现设备不能正常使用的情况或经3次维修后再次出现故障，采购人有权要求投标人免费换货或退货（因人为因素造成的故障除外）。</w:t>
            </w:r>
          </w:p>
        </w:tc>
      </w:tr>
      <w:tr w14:paraId="5359A229">
        <w:tblPrEx>
          <w:tblCellMar>
            <w:top w:w="0" w:type="dxa"/>
            <w:left w:w="108" w:type="dxa"/>
            <w:bottom w:w="0" w:type="dxa"/>
            <w:right w:w="108" w:type="dxa"/>
          </w:tblCellMar>
        </w:tblPrEx>
        <w:trPr>
          <w:trHeight w:val="750"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F31B">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4624">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其他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88C6">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5756">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投标人应按其投标文件中的承诺，进行其他售后服务工作。</w:t>
            </w:r>
          </w:p>
        </w:tc>
      </w:tr>
      <w:tr w14:paraId="0AE1F809">
        <w:tblPrEx>
          <w:tblCellMar>
            <w:top w:w="0" w:type="dxa"/>
            <w:left w:w="108" w:type="dxa"/>
            <w:bottom w:w="0" w:type="dxa"/>
            <w:right w:w="108" w:type="dxa"/>
          </w:tblCellMar>
        </w:tblPrEx>
        <w:trPr>
          <w:trHeight w:val="375" w:hRule="atLeast"/>
          <w:jc w:val="center"/>
        </w:trPr>
        <w:tc>
          <w:tcPr>
            <w:tcW w:w="96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7D7EB6">
            <w:pPr>
              <w:widowControl/>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w:t>
            </w:r>
            <w:r>
              <w:rPr>
                <w:rFonts w:hint="eastAsia" w:ascii="仿宋_GB2312" w:hAnsi="宋体" w:eastAsia="仿宋_GB2312" w:cs="仿宋_GB2312"/>
                <w:b/>
                <w:bCs/>
                <w:color w:val="000000"/>
                <w:kern w:val="0"/>
                <w:sz w:val="28"/>
                <w:szCs w:val="28"/>
                <w:lang w:val="en-US" w:eastAsia="zh-CN"/>
              </w:rPr>
              <w:t>二</w:t>
            </w:r>
            <w:r>
              <w:rPr>
                <w:rFonts w:hint="eastAsia" w:ascii="仿宋_GB2312" w:hAnsi="宋体" w:eastAsia="仿宋_GB2312" w:cs="仿宋_GB2312"/>
                <w:b/>
                <w:bCs/>
                <w:color w:val="000000"/>
                <w:kern w:val="0"/>
                <w:sz w:val="28"/>
                <w:szCs w:val="28"/>
              </w:rPr>
              <w:t>）其他商务要求</w:t>
            </w:r>
          </w:p>
        </w:tc>
      </w:tr>
      <w:tr w14:paraId="7F36A121">
        <w:tblPrEx>
          <w:tblCellMar>
            <w:top w:w="0" w:type="dxa"/>
            <w:left w:w="108" w:type="dxa"/>
            <w:bottom w:w="0" w:type="dxa"/>
            <w:right w:w="108" w:type="dxa"/>
          </w:tblCellMar>
        </w:tblPrEx>
        <w:trPr>
          <w:trHeight w:val="37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A89A5">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5B19C">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关于交货</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CE4A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8051">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合同签订或约定之</w:t>
            </w:r>
            <w:r>
              <w:rPr>
                <w:rFonts w:hint="eastAsia" w:ascii="仿宋_GB2312" w:hAnsi="仿宋_GB2312" w:eastAsia="仿宋_GB2312" w:cs="仿宋_GB2312"/>
                <w:kern w:val="0"/>
                <w:sz w:val="28"/>
                <w:szCs w:val="28"/>
              </w:rPr>
              <w:t>日起</w:t>
            </w:r>
            <w:r>
              <w:rPr>
                <w:rFonts w:hint="eastAsia" w:ascii="仿宋_GB2312" w:hAnsi="仿宋_GB2312" w:eastAsia="仿宋_GB2312" w:cs="仿宋_GB2312"/>
                <w:kern w:val="0"/>
                <w:sz w:val="28"/>
                <w:szCs w:val="28"/>
                <w:highlight w:val="yellow"/>
                <w:lang w:val="en-US" w:eastAsia="zh-CN"/>
              </w:rPr>
              <w:t>30</w:t>
            </w:r>
            <w:r>
              <w:rPr>
                <w:rFonts w:ascii="仿宋_GB2312" w:hAnsi="仿宋_GB2312" w:eastAsia="仿宋_GB2312" w:cs="仿宋_GB2312"/>
                <w:kern w:val="0"/>
                <w:sz w:val="28"/>
                <w:szCs w:val="28"/>
              </w:rPr>
              <w:t>日</w:t>
            </w:r>
            <w:r>
              <w:rPr>
                <w:rStyle w:val="15"/>
                <w:rFonts w:hint="default" w:hAnsi="宋体"/>
              </w:rPr>
              <w:t>历天内交货。</w:t>
            </w:r>
          </w:p>
        </w:tc>
      </w:tr>
      <w:tr w14:paraId="4AB80DFB">
        <w:tblPrEx>
          <w:tblCellMar>
            <w:top w:w="0" w:type="dxa"/>
            <w:left w:w="108" w:type="dxa"/>
            <w:bottom w:w="0" w:type="dxa"/>
            <w:right w:w="108" w:type="dxa"/>
          </w:tblCellMar>
        </w:tblPrEx>
        <w:trPr>
          <w:trHeight w:val="3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69669">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20A2A">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3BD6">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C50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地点：采购人指定地点。</w:t>
            </w:r>
          </w:p>
        </w:tc>
      </w:tr>
      <w:tr w14:paraId="739AEE9A">
        <w:tblPrEx>
          <w:tblCellMar>
            <w:top w:w="0" w:type="dxa"/>
            <w:left w:w="108" w:type="dxa"/>
            <w:bottom w:w="0" w:type="dxa"/>
            <w:right w:w="108" w:type="dxa"/>
          </w:tblCellMar>
        </w:tblPrEx>
        <w:trPr>
          <w:trHeight w:val="652"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770DC">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621A7">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7D6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9960">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投标人必须在交货之日起</w:t>
            </w:r>
            <w:r>
              <w:rPr>
                <w:rStyle w:val="14"/>
                <w:rFonts w:hint="default" w:hAnsi="宋体"/>
                <w:b w:val="0"/>
                <w:bCs w:val="0"/>
              </w:rPr>
              <w:t>60</w:t>
            </w:r>
            <w:r>
              <w:rPr>
                <w:rStyle w:val="15"/>
                <w:rFonts w:hint="default" w:hAnsi="宋体"/>
              </w:rPr>
              <w:t>日历天内完成安装、调试，但采购人另有书面通知的，以采购人书面通知为准；设备需要在现场安装调试，因采购人现场不具备安装调试条件导致工期延误时，安装调试完工日期应当顺延，具体顺延期限由双方商定。</w:t>
            </w:r>
          </w:p>
        </w:tc>
      </w:tr>
      <w:tr w14:paraId="1F28E498">
        <w:tblPrEx>
          <w:tblCellMar>
            <w:top w:w="0" w:type="dxa"/>
            <w:left w:w="108" w:type="dxa"/>
            <w:bottom w:w="0" w:type="dxa"/>
            <w:right w:w="108" w:type="dxa"/>
          </w:tblCellMar>
        </w:tblPrEx>
        <w:trPr>
          <w:trHeight w:val="124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4A078">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E614B">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722A">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1AB7B">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包装运输：投标人提供的设备必须是</w:t>
            </w:r>
            <w:r>
              <w:rPr>
                <w:rFonts w:hint="eastAsia" w:ascii="仿宋_GB2312" w:hAnsi="宋体" w:eastAsia="仿宋_GB2312" w:cs="仿宋_GB2312"/>
                <w:color w:val="000000"/>
                <w:kern w:val="0"/>
                <w:sz w:val="28"/>
                <w:szCs w:val="28"/>
                <w:lang w:val="en-US" w:eastAsia="zh-CN"/>
              </w:rPr>
              <w:t>在实际交货前</w:t>
            </w:r>
            <w:r>
              <w:rPr>
                <w:rFonts w:hint="eastAsia" w:ascii="仿宋_GB2312" w:hAnsi="宋体" w:eastAsia="仿宋_GB2312" w:cs="仿宋_GB2312"/>
                <w:color w:val="000000"/>
                <w:kern w:val="0"/>
                <w:sz w:val="28"/>
                <w:szCs w:val="28"/>
              </w:rPr>
              <w:t>1年内生产的未经使用过的、全新的、完整的，并且应当符合医疗器械强制性国家标准；尚无强制性国家标准的，应当符合医疗器械强制性行业标准，或具有有关质检部门出具的设备检验合格证明。同时，要求设备使用国际通用的标准包装，适合于长途运输，外包装到货时应完好无损，外包装破损时采购人有权拒收，由此产生的其他费用由投标人承担，（包括但不限于运输费、装卸费、保管费等）。</w:t>
            </w:r>
          </w:p>
        </w:tc>
      </w:tr>
      <w:tr w14:paraId="715F093D">
        <w:tblPrEx>
          <w:tblCellMar>
            <w:top w:w="0" w:type="dxa"/>
            <w:left w:w="108" w:type="dxa"/>
            <w:bottom w:w="0" w:type="dxa"/>
            <w:right w:w="108" w:type="dxa"/>
          </w:tblCellMar>
        </w:tblPrEx>
        <w:trPr>
          <w:trHeight w:val="112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DEC6">
            <w:pPr>
              <w:widowControl/>
              <w:jc w:val="center"/>
              <w:textAlignment w:val="center"/>
              <w:rPr>
                <w:rFonts w:hint="eastAsia" w:ascii="仿宋_GB2312" w:hAnsi="宋体" w:eastAsia="仿宋_GB2312" w:cs="仿宋_GB2312"/>
                <w:b/>
                <w:bCs/>
                <w:color w:val="000000"/>
                <w:kern w:val="0"/>
                <w:sz w:val="28"/>
                <w:szCs w:val="28"/>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949C">
            <w:pPr>
              <w:widowControl/>
              <w:jc w:val="center"/>
              <w:textAlignment w:val="center"/>
              <w:rPr>
                <w:rFonts w:hint="eastAsia" w:ascii="仿宋_GB2312" w:hAnsi="宋体" w:eastAsia="仿宋_GB2312" w:cs="仿宋_GB2312"/>
                <w:b/>
                <w:bCs/>
                <w:color w:val="000000"/>
                <w:kern w:val="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9848">
            <w:pPr>
              <w:widowControl/>
              <w:jc w:val="center"/>
              <w:textAlignment w:val="center"/>
              <w:rPr>
                <w:rFonts w:hint="default" w:ascii="仿宋_GB2312" w:hAnsi="宋体" w:eastAsia="仿宋_GB2312" w:cs="仿宋_GB2312"/>
                <w:b/>
                <w:bCs/>
                <w:color w:val="000000"/>
                <w:kern w:val="0"/>
                <w:sz w:val="28"/>
                <w:szCs w:val="28"/>
                <w:lang w:val="en-US" w:eastAsia="zh-CN"/>
              </w:rPr>
            </w:pPr>
            <w:r>
              <w:rPr>
                <w:rFonts w:hint="eastAsia" w:ascii="仿宋_GB2312" w:hAnsi="宋体" w:eastAsia="仿宋_GB2312" w:cs="仿宋_GB2312"/>
                <w:b/>
                <w:bCs/>
                <w:color w:val="000000"/>
                <w:kern w:val="0"/>
                <w:sz w:val="28"/>
                <w:szCs w:val="28"/>
                <w:lang w:val="en-US" w:eastAsia="zh-CN"/>
              </w:rPr>
              <w:t>2.1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E658">
            <w:pPr>
              <w:widowControl/>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到货验收：设备送达采购人指定地点后，采购人、投标人双方进行初步货物验收，投标人因自身原因不能到场参与验收，则视同全权委托采购人验收。投标人向采购人提供全套的材料、设备配置清单、检验产品合格证、使用说明书及其他技术资料，进口设备还需要提供正常报关证明和商检合格证明。在原厂标准不低于采购文件所要求的技术标准且符合我国有关技术规范和技术标准的前提下，采购人以设备的较高标准作为验收标准。对此，投标人应提供原厂标准、国家标准等相关文件，并联同设备生产厂家代表全程参与验收。</w:t>
            </w:r>
          </w:p>
        </w:tc>
      </w:tr>
      <w:tr w14:paraId="7C4BCF22">
        <w:tblPrEx>
          <w:tblCellMar>
            <w:top w:w="0" w:type="dxa"/>
            <w:left w:w="108" w:type="dxa"/>
            <w:bottom w:w="0" w:type="dxa"/>
            <w:right w:w="108" w:type="dxa"/>
          </w:tblCellMar>
        </w:tblPrEx>
        <w:trPr>
          <w:trHeight w:val="112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4D302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FC27B">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关于验收</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C295">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CB9D">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投标人货物经过双方检验认可后，签署验收报告，产品保修期自验收合格之日起算，由投标人提供产品保修文件。</w:t>
            </w:r>
          </w:p>
        </w:tc>
      </w:tr>
      <w:tr w14:paraId="19463C28">
        <w:tblPrEx>
          <w:tblCellMar>
            <w:top w:w="0" w:type="dxa"/>
            <w:left w:w="108" w:type="dxa"/>
            <w:bottom w:w="0" w:type="dxa"/>
            <w:right w:w="108" w:type="dxa"/>
          </w:tblCellMar>
        </w:tblPrEx>
        <w:trPr>
          <w:trHeight w:val="18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3F784">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B8B6F">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A20B">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AAD4">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当满足以下条件时，采购人才向投标人签发货物验收报告：投标人已按照合同规定提供了全部产品及完整的技术资料。货物符合招标文件技术要求，性能满足要求。国产货物必须具备产品合格证。</w:t>
            </w:r>
          </w:p>
        </w:tc>
      </w:tr>
      <w:tr w14:paraId="27BF2C81">
        <w:tblPrEx>
          <w:tblCellMar>
            <w:top w:w="0" w:type="dxa"/>
            <w:left w:w="108" w:type="dxa"/>
            <w:bottom w:w="0" w:type="dxa"/>
            <w:right w:w="108" w:type="dxa"/>
          </w:tblCellMar>
        </w:tblPrEx>
        <w:trPr>
          <w:trHeight w:val="75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94CAB">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FA469">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33DF">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01341">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凡属于国家规定强制检测的设备项目，都必须具备计量质检部门的检测合格证。</w:t>
            </w:r>
          </w:p>
        </w:tc>
      </w:tr>
      <w:tr w14:paraId="3A970DED">
        <w:tblPrEx>
          <w:tblCellMar>
            <w:top w:w="0" w:type="dxa"/>
            <w:left w:w="108" w:type="dxa"/>
            <w:bottom w:w="0" w:type="dxa"/>
            <w:right w:w="108" w:type="dxa"/>
          </w:tblCellMar>
        </w:tblPrEx>
        <w:trPr>
          <w:trHeight w:val="1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3FB88">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B0CA7">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91AA">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E290">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验收过程中，如采购人拟对货物质量进行实质验收，有权邀请第三方检测机构对货物进行检测或测试，所需的费用由投标人承担。</w:t>
            </w:r>
          </w:p>
        </w:tc>
      </w:tr>
      <w:tr w14:paraId="4C7957AD">
        <w:tblPrEx>
          <w:tblCellMar>
            <w:top w:w="0" w:type="dxa"/>
            <w:left w:w="108" w:type="dxa"/>
            <w:bottom w:w="0" w:type="dxa"/>
            <w:right w:w="108" w:type="dxa"/>
          </w:tblCellMar>
        </w:tblPrEx>
        <w:trPr>
          <w:trHeight w:val="4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EBF35">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01A6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AAEE">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6</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DC25">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提供的设备为第一类医疗器械的，验收时应当提供医疗行业主管部门签发的有效的《医疗器械备案凭证》；投标人提供的设备为第二、三类医疗器械的，应当提供医疗行业主管部门签发的涵盖投标人提供设备的《医疗器械注册证》。投标人应确保货物与注册证或备案凭证所附之产品技术要求相符。如所投产品不属于第一、二、三类医疗器械的，验收时可以不提供《医疗器械备案凭证》或《医疗器械注册证》，但需提供投标人关于所投产品不属于医疗器械的相关说明（加盖投标人公章）</w:t>
            </w:r>
          </w:p>
        </w:tc>
      </w:tr>
      <w:tr w14:paraId="2671B569">
        <w:tblPrEx>
          <w:tblCellMar>
            <w:top w:w="0" w:type="dxa"/>
            <w:left w:w="108" w:type="dxa"/>
            <w:bottom w:w="0" w:type="dxa"/>
            <w:right w:w="108" w:type="dxa"/>
          </w:tblCellMar>
        </w:tblPrEx>
        <w:trPr>
          <w:trHeight w:val="1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6EE40">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1BA41">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E94E">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7</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A71F">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在验收过程中，</w:t>
            </w:r>
            <w:r>
              <w:rPr>
                <w:rFonts w:hint="eastAsia" w:ascii="仿宋_GB2312" w:hAnsi="宋体" w:eastAsia="仿宋_GB2312" w:cs="仿宋_GB2312"/>
                <w:color w:val="000000"/>
                <w:kern w:val="0"/>
                <w:sz w:val="28"/>
                <w:szCs w:val="28"/>
                <w:lang w:val="en-US" w:eastAsia="zh-CN"/>
              </w:rPr>
              <w:t>投</w:t>
            </w:r>
            <w:r>
              <w:rPr>
                <w:rFonts w:hint="eastAsia" w:ascii="仿宋_GB2312" w:hAnsi="宋体" w:eastAsia="仿宋_GB2312" w:cs="仿宋_GB2312"/>
                <w:color w:val="000000"/>
                <w:kern w:val="0"/>
                <w:sz w:val="28"/>
                <w:szCs w:val="28"/>
              </w:rPr>
              <w:t>标人需出具与设备制造商签订的与原合同条款一致的维保合同或原厂维保承诺函。</w:t>
            </w:r>
          </w:p>
        </w:tc>
      </w:tr>
      <w:tr w14:paraId="2B27297C">
        <w:tblPrEx>
          <w:tblCellMar>
            <w:top w:w="0" w:type="dxa"/>
            <w:left w:w="108" w:type="dxa"/>
            <w:bottom w:w="0" w:type="dxa"/>
            <w:right w:w="108" w:type="dxa"/>
          </w:tblCellMar>
        </w:tblPrEx>
        <w:trPr>
          <w:trHeight w:val="1875" w:hRule="atLeast"/>
          <w:jc w:val="center"/>
        </w:trPr>
        <w:tc>
          <w:tcPr>
            <w:tcW w:w="717" w:type="dxa"/>
            <w:vMerge w:val="restart"/>
            <w:tcBorders>
              <w:top w:val="single" w:color="000000" w:sz="4" w:space="0"/>
              <w:left w:val="single" w:color="000000" w:sz="4" w:space="0"/>
              <w:right w:val="single" w:color="000000" w:sz="4" w:space="0"/>
            </w:tcBorders>
            <w:shd w:val="clear" w:color="auto" w:fill="auto"/>
            <w:vAlign w:val="center"/>
          </w:tcPr>
          <w:p w14:paraId="73BEE7EB">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w:t>
            </w:r>
          </w:p>
        </w:tc>
        <w:tc>
          <w:tcPr>
            <w:tcW w:w="543" w:type="dxa"/>
            <w:vMerge w:val="restart"/>
            <w:tcBorders>
              <w:top w:val="single" w:color="000000" w:sz="4" w:space="0"/>
              <w:left w:val="single" w:color="000000" w:sz="4" w:space="0"/>
              <w:right w:val="single" w:color="000000" w:sz="4" w:space="0"/>
            </w:tcBorders>
            <w:shd w:val="clear" w:color="auto" w:fill="auto"/>
            <w:vAlign w:val="center"/>
          </w:tcPr>
          <w:p w14:paraId="14713B2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其他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A740">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6C9B">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须支持物联网协议，便于与医院信息系统的对接，按采购人要求无条件开放数据交换接口，并提供技术支持（投标人不得向采购人收取额外的费用），并保证所使用软件的合法性，任何知识产权纠纷与采购人无关。</w:t>
            </w:r>
          </w:p>
        </w:tc>
      </w:tr>
      <w:tr w14:paraId="795617D5">
        <w:tblPrEx>
          <w:tblCellMar>
            <w:top w:w="0" w:type="dxa"/>
            <w:left w:w="108" w:type="dxa"/>
            <w:bottom w:w="0" w:type="dxa"/>
            <w:right w:w="108" w:type="dxa"/>
          </w:tblCellMar>
        </w:tblPrEx>
        <w:trPr>
          <w:trHeight w:val="2250" w:hRule="atLeast"/>
          <w:jc w:val="center"/>
        </w:trPr>
        <w:tc>
          <w:tcPr>
            <w:tcW w:w="717" w:type="dxa"/>
            <w:vMerge w:val="continue"/>
            <w:tcBorders>
              <w:left w:val="single" w:color="000000" w:sz="4" w:space="0"/>
              <w:right w:val="single" w:color="000000" w:sz="4" w:space="0"/>
            </w:tcBorders>
            <w:shd w:val="clear" w:color="auto" w:fill="auto"/>
            <w:vAlign w:val="center"/>
          </w:tcPr>
          <w:p w14:paraId="0E6A8914">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7130E049">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8B09">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C25F">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所投产品为进口产品，投标人必须是所投产品的制造商或合法代理商或合法授权投标人（提供相关证明扫描件）；若所投产品是国产产品（非进口产品），则投标人不需要提供其为所投产品的制造商或合法代理商或合法授权投标人的证明。</w:t>
            </w:r>
          </w:p>
        </w:tc>
      </w:tr>
      <w:tr w14:paraId="3B1B5A63">
        <w:tblPrEx>
          <w:tblCellMar>
            <w:top w:w="0" w:type="dxa"/>
            <w:left w:w="108" w:type="dxa"/>
            <w:bottom w:w="0" w:type="dxa"/>
            <w:right w:w="108" w:type="dxa"/>
          </w:tblCellMar>
        </w:tblPrEx>
        <w:trPr>
          <w:trHeight w:val="1875" w:hRule="atLeast"/>
          <w:jc w:val="center"/>
        </w:trPr>
        <w:tc>
          <w:tcPr>
            <w:tcW w:w="717" w:type="dxa"/>
            <w:vMerge w:val="continue"/>
            <w:tcBorders>
              <w:left w:val="single" w:color="000000" w:sz="4" w:space="0"/>
              <w:right w:val="single" w:color="000000" w:sz="4" w:space="0"/>
            </w:tcBorders>
            <w:shd w:val="clear" w:color="auto" w:fill="auto"/>
            <w:vAlign w:val="center"/>
          </w:tcPr>
          <w:p w14:paraId="469B00F9">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3D25F8F3">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1ED9">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9BF4">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若所投产品为进口产品，则投标人需提供由制造商或授权的中国总代理签署的合法有效的保修、维修承诺函（免费保修期满足招标文件要求）扫描件；若所投产品为国产产品，则无需提供。</w:t>
            </w:r>
          </w:p>
        </w:tc>
      </w:tr>
      <w:tr w14:paraId="6A5A6A94">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right w:val="single" w:color="000000" w:sz="4" w:space="0"/>
            </w:tcBorders>
            <w:shd w:val="clear" w:color="auto" w:fill="auto"/>
            <w:vAlign w:val="center"/>
          </w:tcPr>
          <w:p w14:paraId="28E76CD1">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1CD4C8E8">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F5E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11D1">
            <w:pPr>
              <w:widowControl/>
              <w:textAlignment w:val="center"/>
              <w:rPr>
                <w:rFonts w:ascii="仿宋_GB2312" w:hAnsi="宋体" w:eastAsia="仿宋_GB2312" w:cs="仿宋_GB2312"/>
                <w:color w:val="000000"/>
                <w:sz w:val="28"/>
                <w:szCs w:val="28"/>
              </w:rPr>
            </w:pPr>
            <w:r>
              <w:rPr>
                <w:rFonts w:hint="eastAsia" w:ascii="微软雅黑" w:hAnsi="微软雅黑" w:eastAsia="微软雅黑" w:cs="微软雅黑"/>
                <w:color w:val="000000"/>
                <w:kern w:val="0"/>
                <w:sz w:val="28"/>
                <w:szCs w:val="28"/>
              </w:rPr>
              <w:t>★</w:t>
            </w:r>
            <w:r>
              <w:rPr>
                <w:rFonts w:hint="eastAsia" w:ascii="仿宋_GB2312" w:hAnsi="宋体" w:eastAsia="仿宋_GB2312" w:cs="仿宋_GB2312"/>
                <w:color w:val="000000"/>
                <w:kern w:val="0"/>
                <w:sz w:val="28"/>
                <w:szCs w:val="28"/>
              </w:rPr>
              <w:t>投标人所提供的设备，若该设备配有专用的配套医用耗材，则此类耗材必须通过深圳市医用耗材阳光交易和监管平台进行交易，且供货价格必须遵循阳光平台所公布的最低成交价。未在平台上交易的耗材，必须提供相应的报价单。</w:t>
            </w:r>
          </w:p>
        </w:tc>
      </w:tr>
      <w:tr w14:paraId="6EB24E6C">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right w:val="single" w:color="000000" w:sz="4" w:space="0"/>
            </w:tcBorders>
            <w:shd w:val="clear" w:color="auto" w:fill="auto"/>
            <w:vAlign w:val="center"/>
          </w:tcPr>
          <w:p w14:paraId="58973C80">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4379097F">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84FC">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7787">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本次标的若包含软件服务，需本地化部署，并严格遵照《中华人民共和国信息安全法》等相关法律法规，符合网络安全管理相关规定，所有数据未经采购方允许，不得向第三方私自泄漏。</w:t>
            </w:r>
          </w:p>
        </w:tc>
      </w:tr>
      <w:tr w14:paraId="09B711A7">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bottom w:val="single" w:color="000000" w:sz="4" w:space="0"/>
              <w:right w:val="single" w:color="000000" w:sz="4" w:space="0"/>
            </w:tcBorders>
            <w:shd w:val="clear" w:color="auto" w:fill="auto"/>
            <w:vAlign w:val="center"/>
          </w:tcPr>
          <w:p w14:paraId="5EF5FE25">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bottom w:val="single" w:color="000000" w:sz="4" w:space="0"/>
              <w:right w:val="single" w:color="000000" w:sz="4" w:space="0"/>
            </w:tcBorders>
            <w:shd w:val="clear" w:color="auto" w:fill="auto"/>
            <w:vAlign w:val="center"/>
          </w:tcPr>
          <w:p w14:paraId="01A54A1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1EE1">
            <w:pPr>
              <w:widowControl/>
              <w:jc w:val="center"/>
              <w:textAlignment w:val="center"/>
              <w:rPr>
                <w:rFonts w:hint="default" w:ascii="仿宋_GB2312" w:hAnsi="宋体" w:eastAsia="仿宋_GB2312" w:cs="仿宋_GB2312"/>
                <w:b/>
                <w:bCs/>
                <w:color w:val="000000"/>
                <w:kern w:val="0"/>
                <w:sz w:val="28"/>
                <w:szCs w:val="28"/>
                <w:lang w:val="en-US" w:eastAsia="zh-CN"/>
              </w:rPr>
            </w:pPr>
            <w:r>
              <w:rPr>
                <w:rFonts w:hint="eastAsia" w:ascii="仿宋_GB2312" w:hAnsi="宋体" w:eastAsia="仿宋_GB2312" w:cs="仿宋_GB2312"/>
                <w:b/>
                <w:bCs/>
                <w:color w:val="000000"/>
                <w:kern w:val="0"/>
                <w:sz w:val="28"/>
                <w:szCs w:val="28"/>
                <w:lang w:val="en-US" w:eastAsia="zh-CN"/>
              </w:rPr>
              <w:t>3.6</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7961">
            <w:pPr>
              <w:widowControl/>
              <w:textAlignment w:val="center"/>
              <w:rPr>
                <w:rFonts w:hint="eastAsia" w:ascii="仿宋_GB2312" w:hAnsi="宋体" w:eastAsia="仿宋_GB2312" w:cs="仿宋_GB2312"/>
                <w:color w:val="000000" w:themeColor="text1"/>
                <w:kern w:val="0"/>
                <w:sz w:val="28"/>
                <w:szCs w:val="28"/>
                <w:highlight w:val="none"/>
                <w:lang w:val="en-US" w:eastAsia="zh-CN" w:bidi="ar-SA"/>
                <w14:textFill>
                  <w14:solidFill>
                    <w14:schemeClr w14:val="tx1"/>
                  </w14:solidFill>
                </w14:textFill>
              </w:rPr>
            </w:pPr>
            <w:r>
              <w:rPr>
                <w:rFonts w:hint="eastAsia" w:ascii="仿宋_GB2312" w:hAnsi="宋体" w:eastAsia="仿宋_GB2312" w:cs="仿宋_GB2312"/>
                <w:color w:val="000000" w:themeColor="text1"/>
                <w:kern w:val="0"/>
                <w:sz w:val="28"/>
                <w:szCs w:val="28"/>
                <w:highlight w:val="none"/>
                <w:lang w:val="en-US" w:eastAsia="zh-CN" w:bidi="ar-SA"/>
                <w14:textFill>
                  <w14:solidFill>
                    <w14:schemeClr w14:val="tx1"/>
                  </w14:solidFill>
                </w14:textFill>
              </w:rPr>
              <w:t>在免费保修期内，投标人应为采购人提供软件系统的免费升级服务，包括功能优化、漏洞修复、适配性改进、兼容性升级、性能提升等，确保软件系统始终处于稳定、安全、高效的运行状态。投标人应及时响应采购人需求，在接到通知后5个工作日内完成升级工作。升级前，投标人应与采购人充分沟通确认升级内容和时间；升级过程中，要做好数据备份保障工作；升级完成后，需配合采购人进行测试验收。同时提供升级后的相关文档及培训，培训内容包括操作指南讲解、新功能实操演练等。</w:t>
            </w:r>
          </w:p>
        </w:tc>
      </w:tr>
      <w:tr w14:paraId="43A52933">
        <w:tblPrEx>
          <w:tblCellMar>
            <w:top w:w="0" w:type="dxa"/>
            <w:left w:w="108" w:type="dxa"/>
            <w:bottom w:w="0" w:type="dxa"/>
            <w:right w:w="108" w:type="dxa"/>
          </w:tblCellMar>
        </w:tblPrEx>
        <w:trPr>
          <w:trHeight w:val="112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DBE18B">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E3C29">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关于付款</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145C">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9A12">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合同生效后，采购人将根据设备到货及验收进度情况分阶段付款。</w:t>
            </w:r>
            <w:r>
              <w:rPr>
                <w:rFonts w:hint="eastAsia" w:ascii="仿宋_GB2312" w:hAnsi="宋体" w:eastAsia="仿宋_GB2312" w:cs="仿宋_GB2312"/>
                <w:color w:val="000000" w:themeColor="text1"/>
                <w:kern w:val="0"/>
                <w:sz w:val="28"/>
                <w:szCs w:val="28"/>
                <w:highlight w:val="none"/>
                <w14:textFill>
                  <w14:solidFill>
                    <w14:schemeClr w14:val="tx1"/>
                  </w14:solidFill>
                </w14:textFill>
              </w:rPr>
              <w:br w:type="textWrapping"/>
            </w:r>
            <w:r>
              <w:rPr>
                <w:rFonts w:hint="eastAsia" w:ascii="仿宋_GB2312" w:hAnsi="宋体" w:eastAsia="仿宋_GB2312" w:cs="仿宋_GB2312"/>
                <w:color w:val="000000" w:themeColor="text1"/>
                <w:kern w:val="0"/>
                <w:sz w:val="28"/>
                <w:szCs w:val="28"/>
                <w:highlight w:val="none"/>
                <w14:textFill>
                  <w14:solidFill>
                    <w14:schemeClr w14:val="tx1"/>
                  </w14:solidFill>
                </w14:textFill>
              </w:rPr>
              <w:t>（1）合同签订完成后，采购人在收到中标人提供的合规性发票后，支付合同金额的</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5</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0%；</w:t>
            </w:r>
            <w:r>
              <w:rPr>
                <w:rFonts w:hint="eastAsia" w:ascii="仿宋_GB2312" w:hAnsi="宋体" w:eastAsia="仿宋_GB2312" w:cs="仿宋_GB2312"/>
                <w:color w:val="000000" w:themeColor="text1"/>
                <w:kern w:val="0"/>
                <w:sz w:val="28"/>
                <w:szCs w:val="28"/>
                <w:highlight w:val="none"/>
                <w14:textFill>
                  <w14:solidFill>
                    <w14:schemeClr w14:val="tx1"/>
                  </w14:solidFill>
                </w14:textFill>
              </w:rPr>
              <w:br w:type="textWrapping"/>
            </w:r>
            <w:r>
              <w:rPr>
                <w:rFonts w:hint="eastAsia" w:ascii="仿宋_GB2312" w:hAnsi="宋体" w:eastAsia="仿宋_GB2312" w:cs="仿宋_GB2312"/>
                <w:color w:val="000000" w:themeColor="text1"/>
                <w:kern w:val="0"/>
                <w:sz w:val="28"/>
                <w:szCs w:val="28"/>
                <w:highlight w:val="none"/>
                <w14:textFill>
                  <w14:solidFill>
                    <w14:schemeClr w14:val="tx1"/>
                  </w14:solidFill>
                </w14:textFill>
              </w:rPr>
              <w:t>（2）完成设备的性能验收后，支付合同金额的</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5</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0%。</w:t>
            </w:r>
          </w:p>
        </w:tc>
      </w:tr>
      <w:tr w14:paraId="29D385AE">
        <w:tblPrEx>
          <w:tblCellMar>
            <w:top w:w="0" w:type="dxa"/>
            <w:left w:w="108" w:type="dxa"/>
            <w:bottom w:w="0" w:type="dxa"/>
            <w:right w:w="108" w:type="dxa"/>
          </w:tblCellMar>
        </w:tblPrEx>
        <w:trPr>
          <w:trHeight w:val="26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F9A4A">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6D4C9">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C8E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 xml:space="preserve">4.2 </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7177">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若采购人使用的是财政资金，</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根据财政拨款程序的要求，当</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采购人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完成各项支付手续并报财政审批后，即视为已完成相应的付款义务。若因</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采购人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政府财务审批、财务封账等原因导致延迟支付，不视为</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采购人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违约。</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投标人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不得以</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采购人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逾期付款为由拒绝或怠于履行合同义务</w:t>
            </w:r>
          </w:p>
        </w:tc>
      </w:tr>
      <w:tr w14:paraId="004C71AD">
        <w:tblPrEx>
          <w:tblCellMar>
            <w:top w:w="0" w:type="dxa"/>
            <w:left w:w="108" w:type="dxa"/>
            <w:bottom w:w="0" w:type="dxa"/>
            <w:right w:w="108" w:type="dxa"/>
          </w:tblCellMar>
        </w:tblPrEx>
        <w:trPr>
          <w:trHeight w:val="150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EF50A">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E5828">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3E67">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91E0">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若本项目财政下达的资金数额不足以支付合同约定的比例金额，采购人将按照实际财政下达的资金数额支付合同款，不足部分将待新的项目资金下达后进行支付。</w:t>
            </w:r>
          </w:p>
        </w:tc>
      </w:tr>
      <w:tr w14:paraId="2AF8550C">
        <w:tblPrEx>
          <w:tblCellMar>
            <w:top w:w="0" w:type="dxa"/>
            <w:left w:w="108" w:type="dxa"/>
            <w:bottom w:w="0" w:type="dxa"/>
            <w:right w:w="108" w:type="dxa"/>
          </w:tblCellMar>
        </w:tblPrEx>
        <w:trPr>
          <w:trHeight w:val="597"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8177C4">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F1B46">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违约责任</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953A">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A53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交付的设备品种、型号、规格、质量不符合合同和招标文件要求的，采购人有权拒绝收货，且投标人须赔付采购人设备总值10%的违约金。当投标文件所附配置清单与招标文件要求不一致时，以招标文件要求为准。任何对招标文件要求的修改，应以补充合同的形式签订，但不得涉及招标实质性要求。招标实质性要求包括：产品品牌、型号、价格、技术参数和售后服务要求等。</w:t>
            </w:r>
          </w:p>
        </w:tc>
      </w:tr>
      <w:tr w14:paraId="278ABFF2">
        <w:tblPrEx>
          <w:tblCellMar>
            <w:top w:w="0" w:type="dxa"/>
            <w:left w:w="108" w:type="dxa"/>
            <w:bottom w:w="0" w:type="dxa"/>
            <w:right w:w="108" w:type="dxa"/>
          </w:tblCellMar>
        </w:tblPrEx>
        <w:trPr>
          <w:trHeight w:val="150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BCE33">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D06AF">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2CA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7CC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由于投标人的原因未能按时交货的，每迟一天向采购人支付合同总额的0.5%违约金，如超过交货期10天，采购人有权单方终止合同</w:t>
            </w:r>
            <w:r>
              <w:rPr>
                <w:rFonts w:hint="eastAsia" w:ascii="仿宋_GB2312" w:hAnsi="宋体" w:eastAsia="仿宋_GB2312" w:cs="仿宋_GB2312"/>
                <w:color w:val="000000"/>
                <w:kern w:val="0"/>
                <w:sz w:val="28"/>
                <w:szCs w:val="28"/>
                <w:lang w:eastAsia="zh-CN"/>
              </w:rPr>
              <w:t>，</w:t>
            </w:r>
            <w:r>
              <w:rPr>
                <w:rFonts w:hint="eastAsia" w:ascii="仿宋_GB2312" w:hAnsi="宋体" w:eastAsia="仿宋_GB2312" w:cs="仿宋_GB2312"/>
                <w:color w:val="000000"/>
                <w:kern w:val="0"/>
                <w:sz w:val="28"/>
                <w:szCs w:val="28"/>
              </w:rPr>
              <w:t>投标人向采购人支付合同总额30%的违约金。违约金不足以赔偿采购人损失的，投标人还需继续承担赔偿责任。</w:t>
            </w:r>
          </w:p>
        </w:tc>
      </w:tr>
      <w:tr w14:paraId="573A034B">
        <w:tblPrEx>
          <w:tblCellMar>
            <w:top w:w="0" w:type="dxa"/>
            <w:left w:w="108" w:type="dxa"/>
            <w:bottom w:w="0" w:type="dxa"/>
            <w:right w:w="108" w:type="dxa"/>
          </w:tblCellMar>
        </w:tblPrEx>
        <w:trPr>
          <w:trHeight w:val="18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BD107">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96CA9">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EBC7">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84E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由于投标人的原因，在货到一周内未进行安装调试，或安装调试时间超过正常要求，按每超过一天按合同总额的0.5%向采购人支付违约金。情节严重者，将依照法律程序对投标人进行索赔。</w:t>
            </w:r>
          </w:p>
        </w:tc>
      </w:tr>
    </w:tbl>
    <w:p w14:paraId="7A1A68ED">
      <w:pPr>
        <w:numPr>
          <w:ilvl w:val="0"/>
          <w:numId w:val="0"/>
        </w:numPr>
        <w:ind w:leftChars="0"/>
        <w:jc w:val="left"/>
        <w:rPr>
          <w:rFonts w:hint="eastAsia" w:ascii="仿宋_GB2312" w:hAnsi="仿宋_GB2312" w:eastAsia="仿宋_GB2312" w:cs="仿宋_GB2312"/>
          <w:sz w:val="28"/>
          <w:szCs w:val="28"/>
        </w:rPr>
      </w:pPr>
    </w:p>
    <w:p w14:paraId="00447016">
      <w:pPr>
        <w:pStyle w:val="2"/>
        <w:numPr>
          <w:ilvl w:val="0"/>
          <w:numId w:val="0"/>
        </w:numPr>
        <w:spacing w:before="0" w:after="0" w:line="240" w:lineRule="auto"/>
        <w:rPr>
          <w:rFonts w:hint="eastAsia" w:ascii="仿宋" w:hAnsi="仿宋" w:eastAsia="仿宋"/>
          <w:sz w:val="28"/>
          <w:szCs w:val="28"/>
          <w:lang w:eastAsia="zh-CN"/>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lang w:eastAsia="zh-CN"/>
        </w:rPr>
        <w:t>）</w:t>
      </w:r>
      <w:r>
        <w:rPr>
          <w:rFonts w:hint="eastAsia" w:ascii="仿宋" w:hAnsi="仿宋" w:eastAsia="仿宋"/>
          <w:sz w:val="28"/>
          <w:szCs w:val="28"/>
        </w:rPr>
        <w:t>评审规则</w:t>
      </w:r>
      <w:r>
        <w:rPr>
          <w:rFonts w:hint="eastAsia" w:ascii="仿宋" w:hAnsi="仿宋" w:eastAsia="仿宋"/>
          <w:sz w:val="28"/>
          <w:szCs w:val="28"/>
          <w:lang w:eastAsia="zh-CN"/>
        </w:rPr>
        <w:t>：</w:t>
      </w:r>
    </w:p>
    <w:p w14:paraId="6EBAB866">
      <w:pPr>
        <w:adjustRightInd w:val="0"/>
        <w:snapToGrid w:val="0"/>
        <w:jc w:val="left"/>
        <w:rPr>
          <w:rFonts w:hint="eastAsia"/>
          <w:lang w:val="en-US" w:eastAsia="zh-CN"/>
        </w:rPr>
      </w:pPr>
      <w:r>
        <w:rPr>
          <w:rFonts w:hint="eastAsia" w:ascii="仿宋" w:hAnsi="仿宋" w:eastAsia="仿宋"/>
          <w:sz w:val="28"/>
          <w:szCs w:val="28"/>
          <w:lang w:val="en-US" w:eastAsia="zh-CN"/>
        </w:rPr>
        <w:t>1.</w:t>
      </w:r>
      <w:r>
        <w:rPr>
          <w:rFonts w:hint="eastAsia" w:ascii="仿宋" w:hAnsi="仿宋" w:eastAsia="仿宋"/>
          <w:sz w:val="28"/>
          <w:szCs w:val="28"/>
        </w:rPr>
        <w:t>评标方法：综合评分法</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11098A63">
        <w:pPr>
          <w:pStyle w:val="5"/>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7174">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D581D833"/>
    <w:multiLevelType w:val="singleLevel"/>
    <w:tmpl w:val="D581D833"/>
    <w:lvl w:ilvl="0" w:tentative="0">
      <w:start w:val="1"/>
      <w:numFmt w:val="decimal"/>
      <w:lvlText w:val="%1."/>
      <w:lvlJc w:val="left"/>
      <w:pPr>
        <w:ind w:left="425" w:hanging="425"/>
      </w:pPr>
      <w:rPr>
        <w:rFonts w:hint="default"/>
      </w:rPr>
    </w:lvl>
  </w:abstractNum>
  <w:abstractNum w:abstractNumId="3">
    <w:nsid w:val="D7D6AF34"/>
    <w:multiLevelType w:val="singleLevel"/>
    <w:tmpl w:val="D7D6AF34"/>
    <w:lvl w:ilvl="0" w:tentative="0">
      <w:start w:val="1"/>
      <w:numFmt w:val="chineseCounting"/>
      <w:suff w:val="nothing"/>
      <w:lvlText w:val="（%1）"/>
      <w:lvlJc w:val="left"/>
      <w:rPr>
        <w:rFonts w:hint="eastAsia"/>
      </w:rPr>
    </w:lvl>
  </w:abstractNum>
  <w:abstractNum w:abstractNumId="4">
    <w:nsid w:val="11019A50"/>
    <w:multiLevelType w:val="singleLevel"/>
    <w:tmpl w:val="11019A50"/>
    <w:lvl w:ilvl="0" w:tentative="0">
      <w:start w:val="1"/>
      <w:numFmt w:val="decimal"/>
      <w:lvlText w:val="%1)"/>
      <w:lvlJc w:val="left"/>
      <w:pPr>
        <w:ind w:left="425" w:hanging="425"/>
      </w:pPr>
      <w:rPr>
        <w:rFonts w:hint="default"/>
      </w:rPr>
    </w:lvl>
  </w:abstractNum>
  <w:abstractNum w:abstractNumId="5">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F4D2419"/>
    <w:multiLevelType w:val="singleLevel"/>
    <w:tmpl w:val="4F4D2419"/>
    <w:lvl w:ilvl="0" w:tentative="0">
      <w:start w:val="1"/>
      <w:numFmt w:val="decimal"/>
      <w:lvlText w:val="(%1)"/>
      <w:lvlJc w:val="left"/>
      <w:pPr>
        <w:ind w:left="425" w:hanging="425"/>
      </w:pPr>
      <w:rPr>
        <w:rFonts w:hint="default"/>
      </w:rPr>
    </w:lvl>
  </w:abstractNum>
  <w:abstractNum w:abstractNumId="7">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5"/>
  </w:num>
  <w:num w:numId="2">
    <w:abstractNumId w:val="7"/>
  </w:num>
  <w:num w:numId="3">
    <w:abstractNumId w:val="3"/>
  </w:num>
  <w:num w:numId="4">
    <w:abstractNumId w:val="4"/>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60CAF"/>
    <w:rsid w:val="00162818"/>
    <w:rsid w:val="00216720"/>
    <w:rsid w:val="002277A4"/>
    <w:rsid w:val="00473031"/>
    <w:rsid w:val="00681410"/>
    <w:rsid w:val="0078244A"/>
    <w:rsid w:val="008914B7"/>
    <w:rsid w:val="00B97AED"/>
    <w:rsid w:val="00C9106E"/>
    <w:rsid w:val="00F43941"/>
    <w:rsid w:val="01487061"/>
    <w:rsid w:val="018C33F1"/>
    <w:rsid w:val="01E90844"/>
    <w:rsid w:val="02FE20CD"/>
    <w:rsid w:val="077C680D"/>
    <w:rsid w:val="092B34AD"/>
    <w:rsid w:val="097E7AC3"/>
    <w:rsid w:val="0C6A7D1D"/>
    <w:rsid w:val="0D532C76"/>
    <w:rsid w:val="0EA87391"/>
    <w:rsid w:val="0F621C35"/>
    <w:rsid w:val="10392996"/>
    <w:rsid w:val="124E024F"/>
    <w:rsid w:val="13685340"/>
    <w:rsid w:val="13A04ADA"/>
    <w:rsid w:val="14BC52DE"/>
    <w:rsid w:val="15C076B6"/>
    <w:rsid w:val="19410B0E"/>
    <w:rsid w:val="1A8769F4"/>
    <w:rsid w:val="1B746F78"/>
    <w:rsid w:val="1C4A5F2B"/>
    <w:rsid w:val="1D3E161D"/>
    <w:rsid w:val="20C4005A"/>
    <w:rsid w:val="21004E0A"/>
    <w:rsid w:val="23FF75FB"/>
    <w:rsid w:val="24A73F1B"/>
    <w:rsid w:val="26450B70"/>
    <w:rsid w:val="26461511"/>
    <w:rsid w:val="268A3AF4"/>
    <w:rsid w:val="275763AD"/>
    <w:rsid w:val="2B033E75"/>
    <w:rsid w:val="2BE315B0"/>
    <w:rsid w:val="2C5129BE"/>
    <w:rsid w:val="2CBA4A07"/>
    <w:rsid w:val="2CC87124"/>
    <w:rsid w:val="2CF021D7"/>
    <w:rsid w:val="2EB15996"/>
    <w:rsid w:val="3071362F"/>
    <w:rsid w:val="312A0667"/>
    <w:rsid w:val="31BC3D81"/>
    <w:rsid w:val="345D1B1D"/>
    <w:rsid w:val="356419B4"/>
    <w:rsid w:val="365D6B2F"/>
    <w:rsid w:val="386B2CF7"/>
    <w:rsid w:val="38E928FC"/>
    <w:rsid w:val="39755F3E"/>
    <w:rsid w:val="3A190FBF"/>
    <w:rsid w:val="3B7B35B3"/>
    <w:rsid w:val="3BE455FD"/>
    <w:rsid w:val="3CB054DF"/>
    <w:rsid w:val="3CB43221"/>
    <w:rsid w:val="3CD76F0F"/>
    <w:rsid w:val="3D45031D"/>
    <w:rsid w:val="3DA24B99"/>
    <w:rsid w:val="3DB8289D"/>
    <w:rsid w:val="3DFB78C0"/>
    <w:rsid w:val="3F786788"/>
    <w:rsid w:val="3F8A2017"/>
    <w:rsid w:val="418F2299"/>
    <w:rsid w:val="450B59A8"/>
    <w:rsid w:val="47946129"/>
    <w:rsid w:val="48457423"/>
    <w:rsid w:val="48C60564"/>
    <w:rsid w:val="498C4C6F"/>
    <w:rsid w:val="49B93C25"/>
    <w:rsid w:val="4BDA60D4"/>
    <w:rsid w:val="4C4243A5"/>
    <w:rsid w:val="4C6562E6"/>
    <w:rsid w:val="4E02716F"/>
    <w:rsid w:val="4F624D5E"/>
    <w:rsid w:val="51D9166A"/>
    <w:rsid w:val="539D45B7"/>
    <w:rsid w:val="543B6923"/>
    <w:rsid w:val="551A4C25"/>
    <w:rsid w:val="55466B36"/>
    <w:rsid w:val="55942F06"/>
    <w:rsid w:val="58331046"/>
    <w:rsid w:val="59266DFD"/>
    <w:rsid w:val="5A0F163F"/>
    <w:rsid w:val="5B48305A"/>
    <w:rsid w:val="5EEB267A"/>
    <w:rsid w:val="61A96E48"/>
    <w:rsid w:val="64011984"/>
    <w:rsid w:val="641206A9"/>
    <w:rsid w:val="64A37553"/>
    <w:rsid w:val="665C1EB0"/>
    <w:rsid w:val="665E3732"/>
    <w:rsid w:val="681317F8"/>
    <w:rsid w:val="69794D27"/>
    <w:rsid w:val="69AA4EE0"/>
    <w:rsid w:val="6B1C3BBC"/>
    <w:rsid w:val="6C70102E"/>
    <w:rsid w:val="6CA64085"/>
    <w:rsid w:val="6D282CEC"/>
    <w:rsid w:val="6E0472B5"/>
    <w:rsid w:val="6E1119D2"/>
    <w:rsid w:val="6EED5F9B"/>
    <w:rsid w:val="6F771D08"/>
    <w:rsid w:val="6FF4146C"/>
    <w:rsid w:val="6FFE1AE2"/>
    <w:rsid w:val="704C0A9F"/>
    <w:rsid w:val="7141437C"/>
    <w:rsid w:val="715278CE"/>
    <w:rsid w:val="718C1A9B"/>
    <w:rsid w:val="73CA68AB"/>
    <w:rsid w:val="74974D88"/>
    <w:rsid w:val="74B15375"/>
    <w:rsid w:val="74F65CFE"/>
    <w:rsid w:val="75AE135E"/>
    <w:rsid w:val="76612DCA"/>
    <w:rsid w:val="773C1FA3"/>
    <w:rsid w:val="7B2F2690"/>
    <w:rsid w:val="7F5F2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List 2"/>
    <w:basedOn w:val="1"/>
    <w:qFormat/>
    <w:uiPriority w:val="0"/>
    <w:pPr>
      <w:ind w:left="100" w:leftChars="200" w:hanging="200" w:hangingChars="2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tabs>
        <w:tab w:val="center" w:pos="4153"/>
        <w:tab w:val="right" w:pos="8306"/>
      </w:tabs>
      <w:snapToGrid w:val="0"/>
      <w:jc w:val="center"/>
    </w:pPr>
    <w:rPr>
      <w:sz w:val="18"/>
      <w:szCs w:val="18"/>
    </w:rPr>
  </w:style>
  <w:style w:type="table" w:styleId="8">
    <w:name w:val="Table Grid"/>
    <w:basedOn w:val="7"/>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paragraph" w:styleId="12">
    <w:name w:val="List Paragraph"/>
    <w:basedOn w:val="1"/>
    <w:qFormat/>
    <w:uiPriority w:val="34"/>
    <w:pPr>
      <w:ind w:left="704" w:hanging="420"/>
    </w:pPr>
    <w:rPr>
      <w:rFonts w:ascii="Times New Roman" w:hAnsi="Times New Roman" w:eastAsia="黑体" w:cs="Times New Roman"/>
      <w:sz w:val="32"/>
      <w:szCs w:val="24"/>
    </w:rPr>
  </w:style>
  <w:style w:type="character" w:customStyle="1" w:styleId="13">
    <w:name w:val="标题 1 字符"/>
    <w:basedOn w:val="9"/>
    <w:link w:val="2"/>
    <w:qFormat/>
    <w:uiPriority w:val="9"/>
    <w:rPr>
      <w:b/>
      <w:bCs/>
      <w:kern w:val="44"/>
      <w:sz w:val="44"/>
      <w:szCs w:val="44"/>
    </w:rPr>
  </w:style>
  <w:style w:type="character" w:customStyle="1" w:styleId="14">
    <w:name w:val="font21"/>
    <w:basedOn w:val="9"/>
    <w:autoRedefine/>
    <w:qFormat/>
    <w:uiPriority w:val="0"/>
    <w:rPr>
      <w:rFonts w:hint="eastAsia" w:ascii="仿宋_GB2312" w:eastAsia="仿宋_GB2312" w:cs="仿宋_GB2312"/>
      <w:b/>
      <w:bCs/>
      <w:color w:val="000000"/>
      <w:sz w:val="28"/>
      <w:szCs w:val="28"/>
      <w:u w:val="none"/>
    </w:rPr>
  </w:style>
  <w:style w:type="character" w:customStyle="1" w:styleId="15">
    <w:name w:val="font31"/>
    <w:basedOn w:val="9"/>
    <w:autoRedefine/>
    <w:qFormat/>
    <w:uiPriority w:val="0"/>
    <w:rPr>
      <w:rFonts w:hint="eastAsia" w:ascii="仿宋_GB2312" w:eastAsia="仿宋_GB2312" w:cs="仿宋_GB2312"/>
      <w:color w:val="000000"/>
      <w:sz w:val="28"/>
      <w:szCs w:val="28"/>
      <w:u w:val="none"/>
    </w:rPr>
  </w:style>
  <w:style w:type="character" w:customStyle="1" w:styleId="16">
    <w:name w:val="font11"/>
    <w:basedOn w:val="9"/>
    <w:qFormat/>
    <w:uiPriority w:val="0"/>
    <w:rPr>
      <w:rFonts w:hint="eastAsia" w:ascii="宋体" w:hAnsi="宋体" w:eastAsia="宋体" w:cs="宋体"/>
      <w:color w:val="40404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1242</Words>
  <Characters>1266</Characters>
  <Lines>7</Lines>
  <Paragraphs>2</Paragraphs>
  <TotalTime>1</TotalTime>
  <ScaleCrop>false</ScaleCrop>
  <LinksUpToDate>false</LinksUpToDate>
  <CharactersWithSpaces>1312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2024-01-10T08:47:00Z</dcterms:created>
  <dc:creator>Liu W</dc:creator>
  <cp:lastModifiedBy>JH</cp:lastModifiedBy>
  <dcterms:modified xsi:type="dcterms:W3CDTF">2026-07-14T00:19:55Z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1DCA104BBCE44294A5038F61F89E8998_13</vt:lpwstr>
  </property>
  <property fmtid="{D5CDD505-2E9C-101B-9397-08002B2CF9AE}" pid="4" name="KSOTemplateDocerSaveRecord">
    <vt:lpwstr>eyJoZGlkIjoiOTgxNzhhZWVjZDVjYzFiNzUyN2FlYmU1YTIwNTA2N2MiLCJ1c2VySWQiOiIxMTI2ODg3MDA2In0=</vt:lpwstr>
  </property>
</Properties>
</file>