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20" w:lineRule="atLeast"/>
        <w:jc w:val="center"/>
        <w:rPr>
          <w:rFonts w:hint="eastAsia" w:ascii="方正小标宋简体" w:hAnsi="宋体" w:eastAsia="方正小标宋简体"/>
          <w:sz w:val="32"/>
          <w:szCs w:val="32"/>
        </w:rPr>
      </w:pPr>
      <w:r>
        <w:rPr>
          <w:rFonts w:hint="eastAsia" w:ascii="方正小标宋简体" w:hAnsi="宋体" w:eastAsia="方正小标宋简体"/>
          <w:sz w:val="32"/>
          <w:szCs w:val="32"/>
        </w:rPr>
        <w:t>深圳市前海蛇口自贸区医院康复数字化管理系统项目方案征集</w:t>
      </w:r>
    </w:p>
    <w:p>
      <w:pPr>
        <w:spacing w:after="0" w:line="360" w:lineRule="auto"/>
        <w:jc w:val="center"/>
        <w:rPr>
          <w:rFonts w:hint="eastAsia" w:ascii="仿宋_GB2312" w:hAnsi="宋体" w:eastAsia="仿宋_GB2312"/>
          <w:sz w:val="24"/>
          <w:szCs w:val="24"/>
        </w:rPr>
      </w:pPr>
    </w:p>
    <w:p>
      <w:pPr>
        <w:pStyle w:val="10"/>
        <w:numPr>
          <w:ilvl w:val="0"/>
          <w:numId w:val="1"/>
        </w:numPr>
        <w:tabs>
          <w:tab w:val="left" w:pos="567"/>
        </w:tabs>
        <w:spacing w:after="0" w:line="360" w:lineRule="auto"/>
        <w:ind w:left="0" w:firstLine="0" w:firstLineChars="0"/>
        <w:jc w:val="both"/>
        <w:rPr>
          <w:rFonts w:hint="eastAsia" w:ascii="仿宋_GB2312" w:hAnsi="宋体" w:eastAsia="仿宋_GB2312"/>
          <w:sz w:val="24"/>
          <w:szCs w:val="24"/>
        </w:rPr>
      </w:pPr>
      <w:r>
        <w:rPr>
          <w:rFonts w:hint="eastAsia" w:ascii="仿宋_GB2312" w:hAnsi="宋体" w:eastAsia="仿宋_GB2312"/>
          <w:sz w:val="24"/>
          <w:szCs w:val="24"/>
        </w:rPr>
        <w:t>项目背景</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深圳市前海蛇口自贸区医院，作为一家国家三级综合医院和南山蛇口自贸区的区域医疗中心，承担着辖区内大量居民的日常医疗服务任务。医院坚持以患者为中心、以信息化建设为抓手，持续提升医疗服务能力和患者就医体验。随着医院康复治疗业务管理水平和业务发展需求的持续提升，现有院内通用信息系统已难以满足康复科业务管理的实际需要，该问题日益凸显。基于康复科的具体业务需求，并顺应政策导向，为持续提升科室工作效率、加强康复医嘱执行的全流程管理、进一步降低医疗差错发生率、减少漏计费与错计费现象以及完善相关设备管理，亟需建设一套专业的康复管理系统。该系统将有助于推动本院康复服务实现标准化和规范化，提升服务质量；同时支持医院整体信息化建设目标的实现。</w:t>
      </w:r>
    </w:p>
    <w:p>
      <w:pPr>
        <w:pStyle w:val="10"/>
        <w:numPr>
          <w:ilvl w:val="0"/>
          <w:numId w:val="1"/>
        </w:numPr>
        <w:tabs>
          <w:tab w:val="left" w:pos="567"/>
        </w:tabs>
        <w:spacing w:after="0" w:line="360" w:lineRule="auto"/>
        <w:ind w:left="0" w:firstLine="0" w:firstLineChars="0"/>
        <w:jc w:val="both"/>
        <w:rPr>
          <w:rFonts w:hint="eastAsia" w:ascii="仿宋_GB2312" w:hAnsi="宋体" w:eastAsia="仿宋_GB2312"/>
          <w:sz w:val="24"/>
          <w:szCs w:val="24"/>
        </w:rPr>
      </w:pPr>
      <w:r>
        <w:rPr>
          <w:rFonts w:hint="eastAsia" w:ascii="仿宋_GB2312" w:hAnsi="宋体" w:eastAsia="仿宋_GB2312"/>
          <w:sz w:val="24"/>
          <w:szCs w:val="24"/>
        </w:rPr>
        <w:t>服务要求</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服务于康复科及涉及康复医学科会诊的康复患者，覆盖全周期康复流程，支撑康复早期介入、医治护深度协作、通过信息化手段形成门诊、住院、会诊业务的全流程闭环式管理，实现康复诊疗流程规范化管理，整合康复数据形成可视化报表，辅助科室制定学科发展计划，同时满足电子病历六级建设要求。</w:t>
      </w:r>
    </w:p>
    <w:p>
      <w:pPr>
        <w:pStyle w:val="10"/>
        <w:numPr>
          <w:ilvl w:val="0"/>
          <w:numId w:val="1"/>
        </w:numPr>
        <w:tabs>
          <w:tab w:val="left" w:pos="567"/>
        </w:tabs>
        <w:spacing w:after="0" w:line="360" w:lineRule="auto"/>
        <w:ind w:left="0" w:firstLine="0" w:firstLineChars="0"/>
        <w:jc w:val="both"/>
        <w:rPr>
          <w:rFonts w:hint="eastAsia" w:ascii="仿宋_GB2312" w:hAnsi="宋体" w:eastAsia="仿宋_GB2312"/>
          <w:sz w:val="24"/>
          <w:szCs w:val="24"/>
        </w:rPr>
      </w:pPr>
      <w:r>
        <w:rPr>
          <w:rFonts w:hint="eastAsia" w:ascii="仿宋_GB2312" w:hAnsi="宋体" w:eastAsia="仿宋_GB2312"/>
          <w:sz w:val="24"/>
          <w:szCs w:val="24"/>
        </w:rPr>
        <w:t>建设内容</w:t>
      </w:r>
    </w:p>
    <w:p>
      <w:pPr>
        <w:spacing w:after="0" w:line="360" w:lineRule="auto"/>
        <w:ind w:firstLine="480" w:firstLineChars="200"/>
        <w:jc w:val="both"/>
        <w:rPr>
          <w:rFonts w:hint="eastAsia" w:ascii="仿宋_GB2312" w:hAnsi="宋体" w:eastAsia="仿宋_GB2312"/>
          <w:sz w:val="24"/>
          <w:szCs w:val="24"/>
        </w:rPr>
      </w:pPr>
      <w:r>
        <w:rPr>
          <w:rFonts w:hint="eastAsia" w:ascii="仿宋_GB2312" w:hAnsi="宋体" w:eastAsia="仿宋_GB2312"/>
          <w:sz w:val="24"/>
          <w:szCs w:val="24"/>
        </w:rPr>
        <w:t>包括本次项目的全部功能模块，共计25项。各供应商须在方案中对以下全部模块进行响应：</w:t>
      </w:r>
    </w:p>
    <w:tbl>
      <w:tblPr>
        <w:tblStyle w:val="5"/>
        <w:tblW w:w="8495" w:type="dxa"/>
        <w:tblInd w:w="118" w:type="dxa"/>
        <w:tblLayout w:type="autofit"/>
        <w:tblCellMar>
          <w:top w:w="0" w:type="dxa"/>
          <w:left w:w="108" w:type="dxa"/>
          <w:bottom w:w="0" w:type="dxa"/>
          <w:right w:w="108" w:type="dxa"/>
        </w:tblCellMar>
      </w:tblPr>
      <w:tblGrid>
        <w:gridCol w:w="814"/>
        <w:gridCol w:w="1444"/>
        <w:gridCol w:w="1276"/>
        <w:gridCol w:w="4961"/>
      </w:tblGrid>
      <w:tr>
        <w:tblPrEx>
          <w:tblCellMar>
            <w:top w:w="0" w:type="dxa"/>
            <w:left w:w="108" w:type="dxa"/>
            <w:bottom w:w="0" w:type="dxa"/>
            <w:right w:w="108" w:type="dxa"/>
          </w:tblCellMar>
        </w:tblPrEx>
        <w:trPr>
          <w:trHeight w:val="310" w:hRule="atLeast"/>
        </w:trPr>
        <w:tc>
          <w:tcPr>
            <w:tcW w:w="814" w:type="dxa"/>
            <w:tcBorders>
              <w:top w:val="single" w:color="auto" w:sz="8" w:space="0"/>
              <w:left w:val="single" w:color="auto" w:sz="8" w:space="0"/>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序号</w:t>
            </w:r>
          </w:p>
        </w:tc>
        <w:tc>
          <w:tcPr>
            <w:tcW w:w="1444" w:type="dxa"/>
            <w:tcBorders>
              <w:top w:val="single" w:color="auto" w:sz="8" w:space="0"/>
              <w:left w:val="nil"/>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应用名称</w:t>
            </w:r>
          </w:p>
        </w:tc>
        <w:tc>
          <w:tcPr>
            <w:tcW w:w="1276" w:type="dxa"/>
            <w:tcBorders>
              <w:top w:val="single" w:color="auto" w:sz="8" w:space="0"/>
              <w:left w:val="nil"/>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模块名称</w:t>
            </w:r>
          </w:p>
        </w:tc>
        <w:tc>
          <w:tcPr>
            <w:tcW w:w="4961" w:type="dxa"/>
            <w:tcBorders>
              <w:top w:val="single" w:color="auto" w:sz="8" w:space="0"/>
              <w:left w:val="nil"/>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模块说明</w:t>
            </w:r>
          </w:p>
        </w:tc>
      </w:tr>
      <w:tr>
        <w:tblPrEx>
          <w:tblCellMar>
            <w:top w:w="0" w:type="dxa"/>
            <w:left w:w="108" w:type="dxa"/>
            <w:bottom w:w="0" w:type="dxa"/>
            <w:right w:w="108" w:type="dxa"/>
          </w:tblCellMar>
        </w:tblPrEx>
        <w:trPr>
          <w:trHeight w:val="1210" w:hRule="atLeast"/>
        </w:trPr>
        <w:tc>
          <w:tcPr>
            <w:tcW w:w="814" w:type="dxa"/>
            <w:tcBorders>
              <w:top w:val="nil"/>
              <w:left w:val="single" w:color="auto" w:sz="8" w:space="0"/>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1</w:t>
            </w:r>
          </w:p>
        </w:tc>
        <w:tc>
          <w:tcPr>
            <w:tcW w:w="1444" w:type="dxa"/>
            <w:vMerge w:val="restart"/>
            <w:tcBorders>
              <w:top w:val="nil"/>
              <w:left w:val="single" w:color="auto" w:sz="8" w:space="0"/>
              <w:bottom w:val="single" w:color="000000" w:sz="8" w:space="0"/>
              <w:right w:val="single" w:color="auto" w:sz="8" w:space="0"/>
            </w:tcBorders>
            <w:noWrap/>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康复数字化管理系统</w:t>
            </w:r>
          </w:p>
        </w:tc>
        <w:tc>
          <w:tcPr>
            <w:tcW w:w="1276"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系统配置</w:t>
            </w:r>
          </w:p>
        </w:tc>
        <w:tc>
          <w:tcPr>
            <w:tcW w:w="4961"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 xml:space="preserve">提供软件运行基础数据管理，如科室人员信息、治疗项目、治疗区、排班数据、评估量表等业务基础数据 </w:t>
            </w:r>
          </w:p>
        </w:tc>
      </w:tr>
      <w:tr>
        <w:tblPrEx>
          <w:tblCellMar>
            <w:top w:w="0" w:type="dxa"/>
            <w:left w:w="108" w:type="dxa"/>
            <w:bottom w:w="0" w:type="dxa"/>
            <w:right w:w="108" w:type="dxa"/>
          </w:tblCellMar>
        </w:tblPrEx>
        <w:trPr>
          <w:trHeight w:val="1510" w:hRule="atLeast"/>
        </w:trPr>
        <w:tc>
          <w:tcPr>
            <w:tcW w:w="814" w:type="dxa"/>
            <w:tcBorders>
              <w:top w:val="nil"/>
              <w:left w:val="single" w:color="auto" w:sz="8" w:space="0"/>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2</w:t>
            </w:r>
          </w:p>
        </w:tc>
        <w:tc>
          <w:tcPr>
            <w:tcW w:w="14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hint="eastAsia" w:ascii="仿宋" w:hAnsi="仿宋" w:eastAsia="仿宋" w:cs="宋体"/>
                <w:color w:val="000000"/>
                <w:sz w:val="24"/>
                <w:szCs w:val="24"/>
              </w:rPr>
            </w:pPr>
          </w:p>
        </w:tc>
        <w:tc>
          <w:tcPr>
            <w:tcW w:w="1276"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接口模块</w:t>
            </w:r>
          </w:p>
        </w:tc>
        <w:tc>
          <w:tcPr>
            <w:tcW w:w="4961"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提供系统运行所需的基础接口及电子病历过级所需的业务接口和数据接口，标准对接第三方系统接口模块（例如：对接HIS系统、集成平台等）</w:t>
            </w:r>
          </w:p>
        </w:tc>
      </w:tr>
      <w:tr>
        <w:tblPrEx>
          <w:tblCellMar>
            <w:top w:w="0" w:type="dxa"/>
            <w:left w:w="108" w:type="dxa"/>
            <w:bottom w:w="0" w:type="dxa"/>
            <w:right w:w="108" w:type="dxa"/>
          </w:tblCellMar>
        </w:tblPrEx>
        <w:trPr>
          <w:trHeight w:val="2410" w:hRule="atLeast"/>
        </w:trPr>
        <w:tc>
          <w:tcPr>
            <w:tcW w:w="814" w:type="dxa"/>
            <w:tcBorders>
              <w:top w:val="nil"/>
              <w:left w:val="single" w:color="auto" w:sz="8" w:space="0"/>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3</w:t>
            </w:r>
          </w:p>
        </w:tc>
        <w:tc>
          <w:tcPr>
            <w:tcW w:w="14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hint="eastAsia" w:ascii="仿宋" w:hAnsi="仿宋" w:eastAsia="仿宋" w:cs="宋体"/>
                <w:color w:val="000000"/>
                <w:sz w:val="24"/>
                <w:szCs w:val="24"/>
              </w:rPr>
            </w:pPr>
          </w:p>
        </w:tc>
        <w:tc>
          <w:tcPr>
            <w:tcW w:w="1276"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消息中心</w:t>
            </w:r>
          </w:p>
        </w:tc>
        <w:tc>
          <w:tcPr>
            <w:tcW w:w="4961"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 xml:space="preserve">提供灵活的消息提示机制，可通过多种通讯方式获取系统发送的提示信息；支持根据角色对应权限业务有针对性获取系统中的提示消息，可根据院方需要针对性的选择科室、病区、人员接受消息并处理，具备语音播报功能，在新医嘱下达时支持进行语音播报 </w:t>
            </w:r>
          </w:p>
        </w:tc>
      </w:tr>
      <w:tr>
        <w:tblPrEx>
          <w:tblCellMar>
            <w:top w:w="0" w:type="dxa"/>
            <w:left w:w="108" w:type="dxa"/>
            <w:bottom w:w="0" w:type="dxa"/>
            <w:right w:w="108" w:type="dxa"/>
          </w:tblCellMar>
        </w:tblPrEx>
        <w:trPr>
          <w:trHeight w:val="1510" w:hRule="atLeast"/>
        </w:trPr>
        <w:tc>
          <w:tcPr>
            <w:tcW w:w="814" w:type="dxa"/>
            <w:tcBorders>
              <w:top w:val="nil"/>
              <w:left w:val="single" w:color="auto" w:sz="8" w:space="0"/>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4</w:t>
            </w:r>
          </w:p>
        </w:tc>
        <w:tc>
          <w:tcPr>
            <w:tcW w:w="14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hint="eastAsia" w:ascii="仿宋" w:hAnsi="仿宋" w:eastAsia="仿宋" w:cs="宋体"/>
                <w:color w:val="000000"/>
                <w:sz w:val="24"/>
                <w:szCs w:val="24"/>
              </w:rPr>
            </w:pPr>
          </w:p>
        </w:tc>
        <w:tc>
          <w:tcPr>
            <w:tcW w:w="1276"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任务中心</w:t>
            </w:r>
          </w:p>
        </w:tc>
        <w:tc>
          <w:tcPr>
            <w:tcW w:w="4961"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支持针对个人工作信息进行系统化的跟踪,提供每日工作情况总览功能及任务追踪路径，提供治疗执行自动排查功能，支持在治疗登记时提醒显示未执行医嘱</w:t>
            </w:r>
          </w:p>
        </w:tc>
      </w:tr>
      <w:tr>
        <w:tblPrEx>
          <w:tblCellMar>
            <w:top w:w="0" w:type="dxa"/>
            <w:left w:w="108" w:type="dxa"/>
            <w:bottom w:w="0" w:type="dxa"/>
            <w:right w:w="108" w:type="dxa"/>
          </w:tblCellMar>
        </w:tblPrEx>
        <w:trPr>
          <w:trHeight w:val="1510" w:hRule="atLeast"/>
        </w:trPr>
        <w:tc>
          <w:tcPr>
            <w:tcW w:w="814" w:type="dxa"/>
            <w:tcBorders>
              <w:top w:val="nil"/>
              <w:left w:val="single" w:color="auto" w:sz="8" w:space="0"/>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5</w:t>
            </w:r>
          </w:p>
        </w:tc>
        <w:tc>
          <w:tcPr>
            <w:tcW w:w="14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hint="eastAsia" w:ascii="仿宋" w:hAnsi="仿宋" w:eastAsia="仿宋" w:cs="宋体"/>
                <w:color w:val="000000"/>
                <w:sz w:val="24"/>
                <w:szCs w:val="24"/>
              </w:rPr>
            </w:pPr>
          </w:p>
        </w:tc>
        <w:tc>
          <w:tcPr>
            <w:tcW w:w="1276"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个人中心</w:t>
            </w:r>
          </w:p>
        </w:tc>
        <w:tc>
          <w:tcPr>
            <w:tcW w:w="4961"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个人个性化系统设置，支持对当前账户信息进行编辑维护，实现多病区联合办公，可根据需要切换不同科室/病区进行业务处理，且能实现数据隔离</w:t>
            </w:r>
          </w:p>
        </w:tc>
      </w:tr>
      <w:tr>
        <w:tblPrEx>
          <w:tblCellMar>
            <w:top w:w="0" w:type="dxa"/>
            <w:left w:w="108" w:type="dxa"/>
            <w:bottom w:w="0" w:type="dxa"/>
            <w:right w:w="108" w:type="dxa"/>
          </w:tblCellMar>
        </w:tblPrEx>
        <w:trPr>
          <w:trHeight w:val="310" w:hRule="atLeast"/>
        </w:trPr>
        <w:tc>
          <w:tcPr>
            <w:tcW w:w="814" w:type="dxa"/>
            <w:tcBorders>
              <w:top w:val="nil"/>
              <w:left w:val="single" w:color="auto" w:sz="8" w:space="0"/>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6</w:t>
            </w:r>
          </w:p>
        </w:tc>
        <w:tc>
          <w:tcPr>
            <w:tcW w:w="14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hint="eastAsia" w:ascii="仿宋" w:hAnsi="仿宋" w:eastAsia="仿宋" w:cs="宋体"/>
                <w:color w:val="000000"/>
                <w:sz w:val="24"/>
                <w:szCs w:val="24"/>
              </w:rPr>
            </w:pPr>
          </w:p>
        </w:tc>
        <w:tc>
          <w:tcPr>
            <w:tcW w:w="1276"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会话中心</w:t>
            </w:r>
          </w:p>
        </w:tc>
        <w:tc>
          <w:tcPr>
            <w:tcW w:w="4961"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为医、治、护提供信息交流平台</w:t>
            </w:r>
          </w:p>
        </w:tc>
      </w:tr>
      <w:tr>
        <w:tblPrEx>
          <w:tblCellMar>
            <w:top w:w="0" w:type="dxa"/>
            <w:left w:w="108" w:type="dxa"/>
            <w:bottom w:w="0" w:type="dxa"/>
            <w:right w:w="108" w:type="dxa"/>
          </w:tblCellMar>
        </w:tblPrEx>
        <w:trPr>
          <w:trHeight w:val="910" w:hRule="atLeast"/>
        </w:trPr>
        <w:tc>
          <w:tcPr>
            <w:tcW w:w="814" w:type="dxa"/>
            <w:tcBorders>
              <w:top w:val="nil"/>
              <w:left w:val="single" w:color="auto" w:sz="8" w:space="0"/>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7</w:t>
            </w:r>
          </w:p>
        </w:tc>
        <w:tc>
          <w:tcPr>
            <w:tcW w:w="14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hint="eastAsia" w:ascii="仿宋" w:hAnsi="仿宋" w:eastAsia="仿宋" w:cs="宋体"/>
                <w:color w:val="000000"/>
                <w:sz w:val="24"/>
                <w:szCs w:val="24"/>
              </w:rPr>
            </w:pPr>
          </w:p>
        </w:tc>
        <w:tc>
          <w:tcPr>
            <w:tcW w:w="1276"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患者360</w:t>
            </w:r>
          </w:p>
        </w:tc>
        <w:tc>
          <w:tcPr>
            <w:tcW w:w="4961"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以患者为中心，提供患者管理功能，支持以名片、列表两种方式进行管理；且能同步HIS患者信息</w:t>
            </w:r>
          </w:p>
        </w:tc>
      </w:tr>
      <w:tr>
        <w:tblPrEx>
          <w:tblCellMar>
            <w:top w:w="0" w:type="dxa"/>
            <w:left w:w="108" w:type="dxa"/>
            <w:bottom w:w="0" w:type="dxa"/>
            <w:right w:w="108" w:type="dxa"/>
          </w:tblCellMar>
        </w:tblPrEx>
        <w:trPr>
          <w:trHeight w:val="2110" w:hRule="atLeast"/>
        </w:trPr>
        <w:tc>
          <w:tcPr>
            <w:tcW w:w="814" w:type="dxa"/>
            <w:tcBorders>
              <w:top w:val="nil"/>
              <w:left w:val="single" w:color="auto" w:sz="8" w:space="0"/>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8</w:t>
            </w:r>
          </w:p>
        </w:tc>
        <w:tc>
          <w:tcPr>
            <w:tcW w:w="14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hint="eastAsia" w:ascii="仿宋" w:hAnsi="仿宋" w:eastAsia="仿宋" w:cs="宋体"/>
                <w:color w:val="000000"/>
                <w:sz w:val="24"/>
                <w:szCs w:val="24"/>
              </w:rPr>
            </w:pPr>
          </w:p>
        </w:tc>
        <w:tc>
          <w:tcPr>
            <w:tcW w:w="1276"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康复评估工作站</w:t>
            </w:r>
          </w:p>
        </w:tc>
        <w:tc>
          <w:tcPr>
            <w:tcW w:w="4961"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用于评估师对患者不同阶段病情情况的评估，并对评估结果进行报告汇总、对比。支持评估所需要的基础功能,满足创建评估方案-&gt;调整评估量表-&gt;执行评估-&gt;书写评估报告-&gt;完成评估-&gt;评估查看-&gt;评估对比的业务要求</w:t>
            </w:r>
          </w:p>
        </w:tc>
      </w:tr>
      <w:tr>
        <w:tblPrEx>
          <w:tblCellMar>
            <w:top w:w="0" w:type="dxa"/>
            <w:left w:w="108" w:type="dxa"/>
            <w:bottom w:w="0" w:type="dxa"/>
            <w:right w:w="108" w:type="dxa"/>
          </w:tblCellMar>
        </w:tblPrEx>
        <w:trPr>
          <w:trHeight w:val="1510" w:hRule="atLeast"/>
        </w:trPr>
        <w:tc>
          <w:tcPr>
            <w:tcW w:w="814" w:type="dxa"/>
            <w:tcBorders>
              <w:top w:val="nil"/>
              <w:left w:val="single" w:color="auto" w:sz="8" w:space="0"/>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9</w:t>
            </w:r>
          </w:p>
        </w:tc>
        <w:tc>
          <w:tcPr>
            <w:tcW w:w="14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hint="eastAsia" w:ascii="仿宋" w:hAnsi="仿宋" w:eastAsia="仿宋" w:cs="宋体"/>
                <w:color w:val="000000"/>
                <w:sz w:val="24"/>
                <w:szCs w:val="24"/>
              </w:rPr>
            </w:pPr>
          </w:p>
        </w:tc>
        <w:tc>
          <w:tcPr>
            <w:tcW w:w="1276"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康复治疗工作站</w:t>
            </w:r>
          </w:p>
        </w:tc>
        <w:tc>
          <w:tcPr>
            <w:tcW w:w="4961"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用于治疗师进行治疗、排队治疗、治疗记录查看统计等操作；支持治疗所需要的基础功能，具备待治疗项目查询、治疗登记、治疗记录、收（补）退费等功能</w:t>
            </w:r>
          </w:p>
        </w:tc>
      </w:tr>
      <w:tr>
        <w:tblPrEx>
          <w:tblCellMar>
            <w:top w:w="0" w:type="dxa"/>
            <w:left w:w="108" w:type="dxa"/>
            <w:bottom w:w="0" w:type="dxa"/>
            <w:right w:w="108" w:type="dxa"/>
          </w:tblCellMar>
        </w:tblPrEx>
        <w:trPr>
          <w:trHeight w:val="1810" w:hRule="atLeast"/>
        </w:trPr>
        <w:tc>
          <w:tcPr>
            <w:tcW w:w="814" w:type="dxa"/>
            <w:tcBorders>
              <w:top w:val="nil"/>
              <w:left w:val="single" w:color="auto" w:sz="8" w:space="0"/>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10</w:t>
            </w:r>
          </w:p>
        </w:tc>
        <w:tc>
          <w:tcPr>
            <w:tcW w:w="14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hint="eastAsia" w:ascii="仿宋" w:hAnsi="仿宋" w:eastAsia="仿宋" w:cs="宋体"/>
                <w:color w:val="000000"/>
                <w:sz w:val="24"/>
                <w:szCs w:val="24"/>
              </w:rPr>
            </w:pPr>
          </w:p>
        </w:tc>
        <w:tc>
          <w:tcPr>
            <w:tcW w:w="1276"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康复医生工作站</w:t>
            </w:r>
          </w:p>
        </w:tc>
        <w:tc>
          <w:tcPr>
            <w:tcW w:w="4961"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可以集成到HIS医生工作站，用于医生下达治疗医嘱、评估医嘱，查看康复执行情况；支持以患者为中心进行康复业务功能，满足康复医嘱下达、康复医嘱处理、康复医嘱发送的业务要求</w:t>
            </w:r>
          </w:p>
        </w:tc>
      </w:tr>
      <w:tr>
        <w:tblPrEx>
          <w:tblCellMar>
            <w:top w:w="0" w:type="dxa"/>
            <w:left w:w="108" w:type="dxa"/>
            <w:bottom w:w="0" w:type="dxa"/>
            <w:right w:w="108" w:type="dxa"/>
          </w:tblCellMar>
        </w:tblPrEx>
        <w:trPr>
          <w:trHeight w:val="610" w:hRule="atLeast"/>
        </w:trPr>
        <w:tc>
          <w:tcPr>
            <w:tcW w:w="814" w:type="dxa"/>
            <w:tcBorders>
              <w:top w:val="nil"/>
              <w:left w:val="single" w:color="auto" w:sz="8" w:space="0"/>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11</w:t>
            </w:r>
          </w:p>
        </w:tc>
        <w:tc>
          <w:tcPr>
            <w:tcW w:w="14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hint="eastAsia" w:ascii="仿宋" w:hAnsi="仿宋" w:eastAsia="仿宋" w:cs="宋体"/>
                <w:color w:val="000000"/>
                <w:sz w:val="24"/>
                <w:szCs w:val="24"/>
              </w:rPr>
            </w:pPr>
          </w:p>
        </w:tc>
        <w:tc>
          <w:tcPr>
            <w:tcW w:w="1276"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康复护士工作站</w:t>
            </w:r>
          </w:p>
        </w:tc>
        <w:tc>
          <w:tcPr>
            <w:tcW w:w="4961"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用于护士对患者的康复医疗信息查看、记录、编辑</w:t>
            </w:r>
          </w:p>
        </w:tc>
      </w:tr>
      <w:tr>
        <w:tblPrEx>
          <w:tblCellMar>
            <w:top w:w="0" w:type="dxa"/>
            <w:left w:w="108" w:type="dxa"/>
            <w:bottom w:w="0" w:type="dxa"/>
            <w:right w:w="108" w:type="dxa"/>
          </w:tblCellMar>
        </w:tblPrEx>
        <w:trPr>
          <w:trHeight w:val="2110" w:hRule="atLeast"/>
        </w:trPr>
        <w:tc>
          <w:tcPr>
            <w:tcW w:w="814" w:type="dxa"/>
            <w:tcBorders>
              <w:top w:val="nil"/>
              <w:left w:val="single" w:color="auto" w:sz="8" w:space="0"/>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12</w:t>
            </w:r>
          </w:p>
        </w:tc>
        <w:tc>
          <w:tcPr>
            <w:tcW w:w="14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hint="eastAsia" w:ascii="仿宋" w:hAnsi="仿宋" w:eastAsia="仿宋" w:cs="宋体"/>
                <w:color w:val="000000"/>
                <w:sz w:val="24"/>
                <w:szCs w:val="24"/>
              </w:rPr>
            </w:pPr>
          </w:p>
        </w:tc>
        <w:tc>
          <w:tcPr>
            <w:tcW w:w="1276"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统计报表</w:t>
            </w:r>
          </w:p>
        </w:tc>
        <w:tc>
          <w:tcPr>
            <w:tcW w:w="4961"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用于整个科室运营综合统计分析，协助科室管理者实时对整个科室运营状况及绩效考核进行监管；支持统计科室的所有项目，设备使用率、治疗人次、治疗费用、工作量统计、量表统计、绩效统计，患者治疗统计功能，报表可集中展示</w:t>
            </w:r>
          </w:p>
        </w:tc>
      </w:tr>
      <w:tr>
        <w:tblPrEx>
          <w:tblCellMar>
            <w:top w:w="0" w:type="dxa"/>
            <w:left w:w="108" w:type="dxa"/>
            <w:bottom w:w="0" w:type="dxa"/>
            <w:right w:w="108" w:type="dxa"/>
          </w:tblCellMar>
        </w:tblPrEx>
        <w:trPr>
          <w:trHeight w:val="610" w:hRule="atLeast"/>
        </w:trPr>
        <w:tc>
          <w:tcPr>
            <w:tcW w:w="814" w:type="dxa"/>
            <w:tcBorders>
              <w:top w:val="nil"/>
              <w:left w:val="single" w:color="auto" w:sz="8" w:space="0"/>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13</w:t>
            </w:r>
          </w:p>
        </w:tc>
        <w:tc>
          <w:tcPr>
            <w:tcW w:w="14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hint="eastAsia" w:ascii="仿宋" w:hAnsi="仿宋" w:eastAsia="仿宋" w:cs="宋体"/>
                <w:color w:val="000000"/>
                <w:sz w:val="24"/>
                <w:szCs w:val="24"/>
              </w:rPr>
            </w:pPr>
          </w:p>
        </w:tc>
        <w:tc>
          <w:tcPr>
            <w:tcW w:w="1276"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家庭训练管理</w:t>
            </w:r>
          </w:p>
        </w:tc>
        <w:tc>
          <w:tcPr>
            <w:tcW w:w="4961"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为离院患者提供可持续康复的方案模板</w:t>
            </w:r>
          </w:p>
        </w:tc>
      </w:tr>
      <w:tr>
        <w:tblPrEx>
          <w:tblCellMar>
            <w:top w:w="0" w:type="dxa"/>
            <w:left w:w="108" w:type="dxa"/>
            <w:bottom w:w="0" w:type="dxa"/>
            <w:right w:w="108" w:type="dxa"/>
          </w:tblCellMar>
        </w:tblPrEx>
        <w:trPr>
          <w:trHeight w:val="1810" w:hRule="atLeast"/>
        </w:trPr>
        <w:tc>
          <w:tcPr>
            <w:tcW w:w="814" w:type="dxa"/>
            <w:tcBorders>
              <w:top w:val="nil"/>
              <w:left w:val="single" w:color="auto" w:sz="8" w:space="0"/>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14</w:t>
            </w:r>
          </w:p>
        </w:tc>
        <w:tc>
          <w:tcPr>
            <w:tcW w:w="14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hint="eastAsia" w:ascii="仿宋" w:hAnsi="仿宋" w:eastAsia="仿宋" w:cs="宋体"/>
                <w:color w:val="000000"/>
                <w:sz w:val="24"/>
                <w:szCs w:val="24"/>
              </w:rPr>
            </w:pPr>
          </w:p>
        </w:tc>
        <w:tc>
          <w:tcPr>
            <w:tcW w:w="1276"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患者管理</w:t>
            </w:r>
          </w:p>
        </w:tc>
        <w:tc>
          <w:tcPr>
            <w:tcW w:w="4961"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院内智能化提醒随访事宜，提高工作效率，减少工作误差；符合医学要求的模板化随访方案，方便快捷的制定随访方案，根据不同病种设置不同的随访表，随访内容更符合医学要求</w:t>
            </w:r>
          </w:p>
        </w:tc>
      </w:tr>
      <w:tr>
        <w:tblPrEx>
          <w:tblCellMar>
            <w:top w:w="0" w:type="dxa"/>
            <w:left w:w="108" w:type="dxa"/>
            <w:bottom w:w="0" w:type="dxa"/>
            <w:right w:w="108" w:type="dxa"/>
          </w:tblCellMar>
        </w:tblPrEx>
        <w:trPr>
          <w:trHeight w:val="910" w:hRule="atLeast"/>
        </w:trPr>
        <w:tc>
          <w:tcPr>
            <w:tcW w:w="814" w:type="dxa"/>
            <w:tcBorders>
              <w:top w:val="nil"/>
              <w:left w:val="single" w:color="auto" w:sz="8" w:space="0"/>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15</w:t>
            </w:r>
          </w:p>
        </w:tc>
        <w:tc>
          <w:tcPr>
            <w:tcW w:w="14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hint="eastAsia" w:ascii="仿宋" w:hAnsi="仿宋" w:eastAsia="仿宋" w:cs="宋体"/>
                <w:color w:val="000000"/>
                <w:sz w:val="24"/>
                <w:szCs w:val="24"/>
              </w:rPr>
            </w:pPr>
          </w:p>
        </w:tc>
        <w:tc>
          <w:tcPr>
            <w:tcW w:w="1276"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建议医嘱</w:t>
            </w:r>
          </w:p>
        </w:tc>
        <w:tc>
          <w:tcPr>
            <w:tcW w:w="4961"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提供治疗师向临床、康复医生发生建议治疗建议；具备治疗建议新增、维护、发送、撤销等功能</w:t>
            </w:r>
          </w:p>
        </w:tc>
      </w:tr>
      <w:tr>
        <w:tblPrEx>
          <w:tblCellMar>
            <w:top w:w="0" w:type="dxa"/>
            <w:left w:w="108" w:type="dxa"/>
            <w:bottom w:w="0" w:type="dxa"/>
            <w:right w:w="108" w:type="dxa"/>
          </w:tblCellMar>
        </w:tblPrEx>
        <w:trPr>
          <w:trHeight w:val="2410" w:hRule="atLeast"/>
        </w:trPr>
        <w:tc>
          <w:tcPr>
            <w:tcW w:w="814" w:type="dxa"/>
            <w:tcBorders>
              <w:top w:val="nil"/>
              <w:left w:val="single" w:color="auto" w:sz="8" w:space="0"/>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16</w:t>
            </w:r>
          </w:p>
        </w:tc>
        <w:tc>
          <w:tcPr>
            <w:tcW w:w="14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hint="eastAsia" w:ascii="仿宋" w:hAnsi="仿宋" w:eastAsia="仿宋" w:cs="宋体"/>
                <w:color w:val="000000"/>
                <w:sz w:val="24"/>
                <w:szCs w:val="24"/>
              </w:rPr>
            </w:pPr>
          </w:p>
        </w:tc>
        <w:tc>
          <w:tcPr>
            <w:tcW w:w="1276"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智能排程管理</w:t>
            </w:r>
          </w:p>
        </w:tc>
        <w:tc>
          <w:tcPr>
            <w:tcW w:w="4961"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具备智能化排班排队功能，提供一键智能排班、智能排队两种方式；支持对患者进行治疗安排，结合医院资源情况，提供排班、排队等方式进行患者日程安排。且系统提供多级任务分配+精细化排班、患者分配+患者排队、排队等组合方式供医院选择</w:t>
            </w:r>
          </w:p>
        </w:tc>
      </w:tr>
      <w:tr>
        <w:tblPrEx>
          <w:tblCellMar>
            <w:top w:w="0" w:type="dxa"/>
            <w:left w:w="108" w:type="dxa"/>
            <w:bottom w:w="0" w:type="dxa"/>
            <w:right w:w="108" w:type="dxa"/>
          </w:tblCellMar>
        </w:tblPrEx>
        <w:trPr>
          <w:trHeight w:val="1510" w:hRule="atLeast"/>
        </w:trPr>
        <w:tc>
          <w:tcPr>
            <w:tcW w:w="814" w:type="dxa"/>
            <w:tcBorders>
              <w:top w:val="nil"/>
              <w:left w:val="single" w:color="auto" w:sz="8" w:space="0"/>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17</w:t>
            </w:r>
          </w:p>
        </w:tc>
        <w:tc>
          <w:tcPr>
            <w:tcW w:w="14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hint="eastAsia" w:ascii="仿宋" w:hAnsi="仿宋" w:eastAsia="仿宋" w:cs="宋体"/>
                <w:color w:val="000000"/>
                <w:sz w:val="24"/>
                <w:szCs w:val="24"/>
              </w:rPr>
            </w:pPr>
          </w:p>
        </w:tc>
        <w:tc>
          <w:tcPr>
            <w:tcW w:w="1276"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康复文书</w:t>
            </w:r>
          </w:p>
        </w:tc>
        <w:tc>
          <w:tcPr>
            <w:tcW w:w="4961"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主要实现中医康复治疗文书管理，其中包括首次治疗记录、上级治疗师查房记录等和其他文书如出院小结、评定报告等。提供各类康复文书的编辑与存储功能</w:t>
            </w:r>
          </w:p>
        </w:tc>
      </w:tr>
      <w:tr>
        <w:tblPrEx>
          <w:tblCellMar>
            <w:top w:w="0" w:type="dxa"/>
            <w:left w:w="108" w:type="dxa"/>
            <w:bottom w:w="0" w:type="dxa"/>
            <w:right w:w="108" w:type="dxa"/>
          </w:tblCellMar>
        </w:tblPrEx>
        <w:trPr>
          <w:trHeight w:val="1210" w:hRule="atLeast"/>
        </w:trPr>
        <w:tc>
          <w:tcPr>
            <w:tcW w:w="814" w:type="dxa"/>
            <w:tcBorders>
              <w:top w:val="nil"/>
              <w:left w:val="single" w:color="auto" w:sz="8" w:space="0"/>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18</w:t>
            </w:r>
          </w:p>
        </w:tc>
        <w:tc>
          <w:tcPr>
            <w:tcW w:w="14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hint="eastAsia" w:ascii="仿宋" w:hAnsi="仿宋" w:eastAsia="仿宋" w:cs="宋体"/>
                <w:color w:val="000000"/>
                <w:sz w:val="24"/>
                <w:szCs w:val="24"/>
              </w:rPr>
            </w:pPr>
          </w:p>
        </w:tc>
        <w:tc>
          <w:tcPr>
            <w:tcW w:w="1276"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康复看板</w:t>
            </w:r>
          </w:p>
        </w:tc>
        <w:tc>
          <w:tcPr>
            <w:tcW w:w="4961"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为医师、治疗师、康复护士提供患者的汇总信息，让治疗组人员可以随时随地快速了解患者的任何信息，满足患者信息整合需要</w:t>
            </w:r>
          </w:p>
        </w:tc>
      </w:tr>
      <w:tr>
        <w:tblPrEx>
          <w:tblCellMar>
            <w:top w:w="0" w:type="dxa"/>
            <w:left w:w="108" w:type="dxa"/>
            <w:bottom w:w="0" w:type="dxa"/>
            <w:right w:w="108" w:type="dxa"/>
          </w:tblCellMar>
        </w:tblPrEx>
        <w:trPr>
          <w:trHeight w:val="1510" w:hRule="atLeast"/>
        </w:trPr>
        <w:tc>
          <w:tcPr>
            <w:tcW w:w="814" w:type="dxa"/>
            <w:tcBorders>
              <w:top w:val="nil"/>
              <w:left w:val="single" w:color="auto" w:sz="8" w:space="0"/>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19</w:t>
            </w:r>
          </w:p>
        </w:tc>
        <w:tc>
          <w:tcPr>
            <w:tcW w:w="14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hint="eastAsia" w:ascii="仿宋" w:hAnsi="仿宋" w:eastAsia="仿宋" w:cs="宋体"/>
                <w:color w:val="000000"/>
                <w:sz w:val="24"/>
                <w:szCs w:val="24"/>
              </w:rPr>
            </w:pPr>
          </w:p>
        </w:tc>
        <w:tc>
          <w:tcPr>
            <w:tcW w:w="1276"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患者病历夹</w:t>
            </w:r>
          </w:p>
        </w:tc>
        <w:tc>
          <w:tcPr>
            <w:tcW w:w="4961"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集中展示患者的康复电子病历，并可查阅历史病历，可对接HIS进行双向调用；能实现在同一界面集成患者本次就诊与历史就诊信息快速查看功能</w:t>
            </w:r>
          </w:p>
        </w:tc>
      </w:tr>
      <w:tr>
        <w:tblPrEx>
          <w:tblCellMar>
            <w:top w:w="0" w:type="dxa"/>
            <w:left w:w="108" w:type="dxa"/>
            <w:bottom w:w="0" w:type="dxa"/>
            <w:right w:w="108" w:type="dxa"/>
          </w:tblCellMar>
        </w:tblPrEx>
        <w:trPr>
          <w:trHeight w:val="610" w:hRule="atLeast"/>
        </w:trPr>
        <w:tc>
          <w:tcPr>
            <w:tcW w:w="814" w:type="dxa"/>
            <w:tcBorders>
              <w:top w:val="nil"/>
              <w:left w:val="single" w:color="auto" w:sz="8" w:space="0"/>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20</w:t>
            </w:r>
          </w:p>
        </w:tc>
        <w:tc>
          <w:tcPr>
            <w:tcW w:w="14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hint="eastAsia" w:ascii="仿宋" w:hAnsi="仿宋" w:eastAsia="仿宋" w:cs="宋体"/>
                <w:color w:val="000000"/>
                <w:sz w:val="24"/>
                <w:szCs w:val="24"/>
              </w:rPr>
            </w:pPr>
          </w:p>
        </w:tc>
        <w:tc>
          <w:tcPr>
            <w:tcW w:w="1276"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病历检索</w:t>
            </w:r>
          </w:p>
        </w:tc>
        <w:tc>
          <w:tcPr>
            <w:tcW w:w="4961"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基于病历、量表、文书、报告的查看，可用于科研数据查询和分析</w:t>
            </w:r>
          </w:p>
        </w:tc>
      </w:tr>
      <w:tr>
        <w:tblPrEx>
          <w:tblCellMar>
            <w:top w:w="0" w:type="dxa"/>
            <w:left w:w="108" w:type="dxa"/>
            <w:bottom w:w="0" w:type="dxa"/>
            <w:right w:w="108" w:type="dxa"/>
          </w:tblCellMar>
        </w:tblPrEx>
        <w:trPr>
          <w:trHeight w:val="610" w:hRule="atLeast"/>
        </w:trPr>
        <w:tc>
          <w:tcPr>
            <w:tcW w:w="814" w:type="dxa"/>
            <w:tcBorders>
              <w:top w:val="nil"/>
              <w:left w:val="single" w:color="auto" w:sz="8" w:space="0"/>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21</w:t>
            </w:r>
          </w:p>
        </w:tc>
        <w:tc>
          <w:tcPr>
            <w:tcW w:w="14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hint="eastAsia" w:ascii="仿宋" w:hAnsi="仿宋" w:eastAsia="仿宋" w:cs="宋体"/>
                <w:color w:val="000000"/>
                <w:sz w:val="24"/>
                <w:szCs w:val="24"/>
              </w:rPr>
            </w:pPr>
          </w:p>
        </w:tc>
        <w:tc>
          <w:tcPr>
            <w:tcW w:w="1276"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质控管理</w:t>
            </w:r>
          </w:p>
        </w:tc>
        <w:tc>
          <w:tcPr>
            <w:tcW w:w="4961"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 xml:space="preserve">配置各项工作的质控要求，并查看执行情况 </w:t>
            </w:r>
          </w:p>
        </w:tc>
      </w:tr>
      <w:tr>
        <w:tblPrEx>
          <w:tblCellMar>
            <w:top w:w="0" w:type="dxa"/>
            <w:left w:w="108" w:type="dxa"/>
            <w:bottom w:w="0" w:type="dxa"/>
            <w:right w:w="108" w:type="dxa"/>
          </w:tblCellMar>
        </w:tblPrEx>
        <w:trPr>
          <w:trHeight w:val="610" w:hRule="atLeast"/>
        </w:trPr>
        <w:tc>
          <w:tcPr>
            <w:tcW w:w="814" w:type="dxa"/>
            <w:tcBorders>
              <w:top w:val="nil"/>
              <w:left w:val="single" w:color="auto" w:sz="8" w:space="0"/>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22</w:t>
            </w:r>
          </w:p>
        </w:tc>
        <w:tc>
          <w:tcPr>
            <w:tcW w:w="14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hint="eastAsia" w:ascii="仿宋" w:hAnsi="仿宋" w:eastAsia="仿宋" w:cs="宋体"/>
                <w:color w:val="000000"/>
                <w:sz w:val="24"/>
                <w:szCs w:val="24"/>
              </w:rPr>
            </w:pPr>
          </w:p>
        </w:tc>
        <w:tc>
          <w:tcPr>
            <w:tcW w:w="1276"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公众号推送</w:t>
            </w:r>
          </w:p>
        </w:tc>
        <w:tc>
          <w:tcPr>
            <w:tcW w:w="4961"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ascii="仿宋" w:hAnsi="仿宋" w:eastAsia="仿宋" w:cs="宋体"/>
                <w:color w:val="262626"/>
                <w:sz w:val="24"/>
                <w:szCs w:val="24"/>
              </w:rPr>
              <w:t>治疗区在康复系统中接收到治疗申请后，在康复系统中为患者治疗项目进行安排，若患者安排时间有变动，治疗师可进行相应调整；康复系统自动通过公众号把排班安排信息实时推送给患者，患者可进入详情查看</w:t>
            </w:r>
          </w:p>
        </w:tc>
      </w:tr>
      <w:tr>
        <w:tblPrEx>
          <w:tblCellMar>
            <w:top w:w="0" w:type="dxa"/>
            <w:left w:w="108" w:type="dxa"/>
            <w:bottom w:w="0" w:type="dxa"/>
            <w:right w:w="108" w:type="dxa"/>
          </w:tblCellMar>
        </w:tblPrEx>
        <w:trPr>
          <w:trHeight w:val="2410" w:hRule="atLeast"/>
        </w:trPr>
        <w:tc>
          <w:tcPr>
            <w:tcW w:w="814" w:type="dxa"/>
            <w:tcBorders>
              <w:top w:val="nil"/>
              <w:left w:val="single" w:color="auto" w:sz="8" w:space="0"/>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23</w:t>
            </w:r>
          </w:p>
        </w:tc>
        <w:tc>
          <w:tcPr>
            <w:tcW w:w="14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hint="eastAsia" w:ascii="仿宋" w:hAnsi="仿宋" w:eastAsia="仿宋" w:cs="宋体"/>
                <w:color w:val="000000"/>
                <w:sz w:val="24"/>
                <w:szCs w:val="24"/>
              </w:rPr>
            </w:pPr>
          </w:p>
        </w:tc>
        <w:tc>
          <w:tcPr>
            <w:tcW w:w="1276"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移动评估系统</w:t>
            </w:r>
          </w:p>
        </w:tc>
        <w:tc>
          <w:tcPr>
            <w:tcW w:w="4961"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通过移动评估系统，让评定师实现移动化的评定工作，（包含：创建评估方案：绑定收费医嘱、引用预设方案、引用历史方案、引用推荐方案、引用建议方案、指定治疗区、指定治疗师、录入操作指导；集成康复看板；集成患者中心功能）为患者提供床旁评定等服务。</w:t>
            </w:r>
          </w:p>
        </w:tc>
      </w:tr>
      <w:tr>
        <w:tblPrEx>
          <w:tblCellMar>
            <w:top w:w="0" w:type="dxa"/>
            <w:left w:w="108" w:type="dxa"/>
            <w:bottom w:w="0" w:type="dxa"/>
            <w:right w:w="108" w:type="dxa"/>
          </w:tblCellMar>
        </w:tblPrEx>
        <w:trPr>
          <w:trHeight w:val="2110" w:hRule="atLeast"/>
        </w:trPr>
        <w:tc>
          <w:tcPr>
            <w:tcW w:w="814" w:type="dxa"/>
            <w:tcBorders>
              <w:top w:val="nil"/>
              <w:left w:val="single" w:color="auto" w:sz="8" w:space="0"/>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24</w:t>
            </w:r>
          </w:p>
        </w:tc>
        <w:tc>
          <w:tcPr>
            <w:tcW w:w="14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hint="eastAsia" w:ascii="仿宋" w:hAnsi="仿宋" w:eastAsia="仿宋" w:cs="宋体"/>
                <w:color w:val="000000"/>
                <w:sz w:val="24"/>
                <w:szCs w:val="24"/>
              </w:rPr>
            </w:pPr>
          </w:p>
        </w:tc>
        <w:tc>
          <w:tcPr>
            <w:tcW w:w="1276"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移动治疗系统</w:t>
            </w:r>
          </w:p>
        </w:tc>
        <w:tc>
          <w:tcPr>
            <w:tcW w:w="4961" w:type="dxa"/>
            <w:tcBorders>
              <w:top w:val="nil"/>
              <w:left w:val="nil"/>
              <w:bottom w:val="single" w:color="auto" w:sz="8" w:space="0"/>
              <w:right w:val="single" w:color="auto" w:sz="8" w:space="0"/>
            </w:tcBorders>
            <w:shd w:val="clear" w:color="000000" w:fill="FFFFFF"/>
            <w:vAlign w:val="center"/>
          </w:tcPr>
          <w:p>
            <w:pPr>
              <w:adjustRightInd/>
              <w:snapToGrid/>
              <w:spacing w:after="0"/>
              <w:rPr>
                <w:rFonts w:hint="eastAsia" w:ascii="仿宋" w:hAnsi="仿宋" w:eastAsia="仿宋" w:cs="宋体"/>
                <w:color w:val="262626"/>
                <w:sz w:val="24"/>
                <w:szCs w:val="24"/>
              </w:rPr>
            </w:pPr>
            <w:r>
              <w:rPr>
                <w:rFonts w:hint="eastAsia" w:ascii="仿宋" w:hAnsi="仿宋" w:eastAsia="仿宋" w:cs="宋体"/>
                <w:color w:val="262626"/>
                <w:sz w:val="24"/>
                <w:szCs w:val="24"/>
              </w:rPr>
              <w:t>移动治疗系统集成任务中心、消息中心、团队会议、治疗建议、评估建立、治疗医嘱管理、排班查询、排队查询、治疗记录、每日简报、患者管理、治疗工作统计等功能，为治疗师工作日常提升便利性，减轻工作压力</w:t>
            </w:r>
          </w:p>
        </w:tc>
      </w:tr>
      <w:tr>
        <w:tblPrEx>
          <w:tblCellMar>
            <w:top w:w="0" w:type="dxa"/>
            <w:left w:w="108" w:type="dxa"/>
            <w:bottom w:w="0" w:type="dxa"/>
            <w:right w:w="108" w:type="dxa"/>
          </w:tblCellMar>
        </w:tblPrEx>
        <w:trPr>
          <w:trHeight w:val="610" w:hRule="atLeast"/>
        </w:trPr>
        <w:tc>
          <w:tcPr>
            <w:tcW w:w="814" w:type="dxa"/>
            <w:tcBorders>
              <w:top w:val="nil"/>
              <w:left w:val="single" w:color="auto" w:sz="8" w:space="0"/>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25</w:t>
            </w:r>
          </w:p>
        </w:tc>
        <w:tc>
          <w:tcPr>
            <w:tcW w:w="14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hint="eastAsia" w:ascii="仿宋" w:hAnsi="仿宋" w:eastAsia="仿宋" w:cs="宋体"/>
                <w:color w:val="000000"/>
                <w:sz w:val="24"/>
                <w:szCs w:val="24"/>
              </w:rPr>
            </w:pPr>
          </w:p>
        </w:tc>
        <w:tc>
          <w:tcPr>
            <w:tcW w:w="1276" w:type="dxa"/>
            <w:tcBorders>
              <w:top w:val="nil"/>
              <w:left w:val="nil"/>
              <w:bottom w:val="single" w:color="auto" w:sz="8" w:space="0"/>
              <w:right w:val="single" w:color="auto" w:sz="8" w:space="0"/>
            </w:tcBorders>
            <w:noWrap/>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系统接口开发</w:t>
            </w:r>
          </w:p>
        </w:tc>
        <w:tc>
          <w:tcPr>
            <w:tcW w:w="4961" w:type="dxa"/>
            <w:tcBorders>
              <w:top w:val="nil"/>
              <w:left w:val="nil"/>
              <w:bottom w:val="single" w:color="auto" w:sz="8" w:space="0"/>
              <w:right w:val="single" w:color="auto" w:sz="8" w:space="0"/>
            </w:tcBorders>
            <w:vAlign w:val="center"/>
          </w:tcPr>
          <w:p>
            <w:pPr>
              <w:adjustRightInd/>
              <w:snapToGrid/>
              <w:spacing w:after="0"/>
              <w:jc w:val="both"/>
              <w:rPr>
                <w:rFonts w:hint="eastAsia" w:ascii="仿宋" w:hAnsi="仿宋" w:eastAsia="仿宋" w:cs="宋体"/>
                <w:color w:val="000000"/>
                <w:sz w:val="24"/>
                <w:szCs w:val="24"/>
              </w:rPr>
            </w:pPr>
            <w:r>
              <w:rPr>
                <w:rFonts w:hint="eastAsia" w:ascii="仿宋" w:hAnsi="仿宋" w:eastAsia="仿宋" w:cs="宋体"/>
                <w:color w:val="000000"/>
                <w:sz w:val="24"/>
                <w:szCs w:val="24"/>
              </w:rPr>
              <w:t>对接线下HIS、LIS、医技等系统接口，实现本项目的全部功能开发</w:t>
            </w:r>
          </w:p>
        </w:tc>
      </w:tr>
    </w:tbl>
    <w:p>
      <w:pPr>
        <w:pStyle w:val="10"/>
        <w:widowControl w:val="0"/>
        <w:tabs>
          <w:tab w:val="left" w:pos="567"/>
        </w:tabs>
        <w:adjustRightInd/>
        <w:snapToGrid/>
        <w:spacing w:after="0" w:line="360" w:lineRule="auto"/>
        <w:ind w:firstLine="480"/>
        <w:jc w:val="both"/>
        <w:rPr>
          <w:rFonts w:hint="eastAsia" w:ascii="仿宋_GB2312" w:hAnsi="宋体" w:eastAsia="仿宋_GB2312"/>
          <w:sz w:val="24"/>
          <w:szCs w:val="24"/>
        </w:rPr>
      </w:pPr>
    </w:p>
    <w:p>
      <w:pPr>
        <w:pStyle w:val="10"/>
        <w:widowControl w:val="0"/>
        <w:numPr>
          <w:ilvl w:val="0"/>
          <w:numId w:val="1"/>
        </w:numPr>
        <w:tabs>
          <w:tab w:val="left" w:pos="567"/>
        </w:tabs>
        <w:adjustRightInd/>
        <w:snapToGrid/>
        <w:spacing w:after="0" w:line="360" w:lineRule="auto"/>
        <w:ind w:left="0" w:firstLine="0" w:firstLineChars="0"/>
        <w:jc w:val="both"/>
        <w:rPr>
          <w:rFonts w:hint="eastAsia" w:ascii="仿宋_GB2312" w:hAnsi="宋体" w:eastAsia="仿宋_GB2312"/>
          <w:sz w:val="24"/>
          <w:szCs w:val="24"/>
        </w:rPr>
      </w:pPr>
      <w:r>
        <w:rPr>
          <w:rFonts w:hint="eastAsia" w:ascii="仿宋_GB2312" w:hAnsi="仿宋" w:eastAsia="仿宋_GB2312" w:cs="仿宋"/>
          <w:sz w:val="24"/>
          <w:szCs w:val="24"/>
        </w:rPr>
        <w:t>本着“公平、公开、公正”的原则，欢迎国内厂商将产品解决方案及相关介绍材料（一式五份）寄/送达</w:t>
      </w:r>
      <w:r>
        <w:rPr>
          <w:rFonts w:hint="eastAsia" w:ascii="仿宋_GB2312" w:hAnsi="仿宋" w:eastAsia="仿宋_GB2312" w:cs="仿宋"/>
          <w:kern w:val="2"/>
          <w:sz w:val="24"/>
          <w:szCs w:val="24"/>
          <w:highlight w:val="yellow"/>
          <w:lang w:val="en-US" w:eastAsia="zh-CN" w:bidi="ar-SA"/>
        </w:rPr>
        <w:t>深圳市南山区工业七路128号深圳市前海蛇口自贸区医院3号楼12楼科教信息部</w:t>
      </w:r>
      <w:r>
        <w:rPr>
          <w:rFonts w:hint="eastAsia" w:ascii="仿宋_GB2312" w:hAnsi="仿宋" w:eastAsia="仿宋_GB2312" w:cs="仿宋"/>
          <w:sz w:val="24"/>
          <w:szCs w:val="24"/>
          <w:highlight w:val="none"/>
        </w:rPr>
        <w:t>，另将材料的电子扫描件发送至</w:t>
      </w:r>
      <w:r>
        <w:rPr>
          <w:rFonts w:hint="eastAsia" w:ascii="仿宋_GB2312" w:hAnsi="仿宋" w:eastAsia="仿宋_GB2312" w:cs="仿宋"/>
          <w:sz w:val="24"/>
          <w:szCs w:val="24"/>
          <w:highlight w:val="none"/>
          <w:lang w:val="en-US" w:eastAsia="zh-CN"/>
        </w:rPr>
        <w:t>电子邮箱</w:t>
      </w:r>
      <w:r>
        <w:rPr>
          <w:rFonts w:hint="eastAsia" w:ascii="仿宋_GB2312" w:hAnsi="仿宋" w:eastAsia="仿宋_GB2312" w:cs="仿宋"/>
          <w:kern w:val="2"/>
          <w:sz w:val="24"/>
          <w:szCs w:val="24"/>
          <w:highlight w:val="yellow"/>
          <w:lang w:val="en-US" w:eastAsia="zh-CN" w:bidi="ar-SA"/>
        </w:rPr>
        <w:t>13923843010@139.com。</w:t>
      </w:r>
      <w:bookmarkStart w:id="0" w:name="_GoBack"/>
      <w:bookmarkEnd w:id="0"/>
    </w:p>
    <w:p>
      <w:pPr>
        <w:pStyle w:val="4"/>
        <w:shd w:val="clear" w:color="auto" w:fill="FFFFFF"/>
        <w:spacing w:beforeAutospacing="0" w:afterAutospacing="0" w:line="360" w:lineRule="auto"/>
        <w:ind w:firstLine="480" w:firstLineChars="200"/>
        <w:rPr>
          <w:rFonts w:hint="eastAsia" w:ascii="仿宋_GB2312" w:hAnsi="仿宋" w:eastAsia="仿宋_GB2312" w:cs="仿宋"/>
          <w:szCs w:val="24"/>
        </w:rPr>
      </w:pPr>
      <w:r>
        <w:rPr>
          <w:rFonts w:hint="eastAsia" w:ascii="仿宋_GB2312" w:hAnsi="仿宋" w:eastAsia="仿宋_GB2312" w:cs="仿宋"/>
          <w:kern w:val="2"/>
          <w:szCs w:val="24"/>
        </w:rPr>
        <w:t>报名截止时间：</w:t>
      </w:r>
      <w:r>
        <w:rPr>
          <w:rFonts w:hint="eastAsia" w:ascii="仿宋_GB2312" w:hAnsi="仿宋" w:eastAsia="仿宋_GB2312" w:cs="仿宋"/>
          <w:kern w:val="2"/>
          <w:szCs w:val="24"/>
          <w:shd w:val="clear" w:color="auto" w:fill="FFFF00"/>
        </w:rPr>
        <w:t>2026年</w:t>
      </w:r>
      <w:r>
        <w:rPr>
          <w:rFonts w:hint="eastAsia" w:ascii="仿宋_GB2312" w:hAnsi="仿宋" w:eastAsia="仿宋_GB2312" w:cs="仿宋"/>
          <w:kern w:val="2"/>
          <w:szCs w:val="24"/>
          <w:shd w:val="clear" w:color="auto" w:fill="FFFF00"/>
          <w:lang w:val="en-US" w:eastAsia="zh-CN"/>
        </w:rPr>
        <w:t>5</w:t>
      </w:r>
      <w:r>
        <w:rPr>
          <w:rFonts w:hint="eastAsia" w:ascii="仿宋_GB2312" w:hAnsi="仿宋" w:eastAsia="仿宋_GB2312" w:cs="仿宋"/>
          <w:kern w:val="2"/>
          <w:szCs w:val="24"/>
          <w:shd w:val="clear" w:color="auto" w:fill="FFFF00"/>
        </w:rPr>
        <w:t>月</w:t>
      </w:r>
      <w:r>
        <w:rPr>
          <w:rFonts w:hint="eastAsia" w:ascii="仿宋_GB2312" w:hAnsi="仿宋" w:eastAsia="仿宋_GB2312" w:cs="仿宋"/>
          <w:kern w:val="2"/>
          <w:szCs w:val="24"/>
          <w:shd w:val="clear" w:color="auto" w:fill="FFFF00"/>
          <w:lang w:val="en-US" w:eastAsia="zh-CN"/>
        </w:rPr>
        <w:t>27</w:t>
      </w:r>
      <w:r>
        <w:rPr>
          <w:rFonts w:hint="eastAsia" w:ascii="仿宋_GB2312" w:hAnsi="仿宋" w:eastAsia="仿宋_GB2312" w:cs="仿宋"/>
          <w:kern w:val="2"/>
          <w:szCs w:val="24"/>
          <w:shd w:val="clear" w:color="auto" w:fill="FFFF00"/>
        </w:rPr>
        <w:t>日下午下班前（17点）</w:t>
      </w:r>
      <w:r>
        <w:rPr>
          <w:rFonts w:hint="eastAsia" w:ascii="仿宋_GB2312" w:hAnsi="仿宋" w:eastAsia="仿宋_GB2312" w:cs="仿宋"/>
          <w:szCs w:val="24"/>
        </w:rPr>
        <w:t>。项目专家论证会时间（需准备8分钟左右的PPT进行项目建设方案的介绍）另行通知。</w:t>
      </w:r>
    </w:p>
    <w:p>
      <w:pPr>
        <w:pStyle w:val="4"/>
        <w:shd w:val="clear" w:color="auto" w:fill="FFFFFF"/>
        <w:spacing w:beforeAutospacing="0" w:afterAutospacing="0" w:line="360" w:lineRule="auto"/>
        <w:ind w:firstLine="480" w:firstLineChars="200"/>
        <w:jc w:val="both"/>
        <w:rPr>
          <w:rFonts w:hint="eastAsia" w:ascii="仿宋_GB2312" w:hAnsi="仿宋" w:eastAsia="仿宋_GB2312" w:cs="仿宋"/>
          <w:kern w:val="2"/>
          <w:szCs w:val="24"/>
        </w:rPr>
      </w:pPr>
      <w:r>
        <w:rPr>
          <w:rFonts w:hint="eastAsia" w:ascii="仿宋_GB2312" w:hAnsi="仿宋" w:eastAsia="仿宋_GB2312" w:cs="仿宋"/>
          <w:kern w:val="2"/>
          <w:szCs w:val="24"/>
        </w:rPr>
        <w:t>报名联系人：</w:t>
      </w:r>
      <w:r>
        <w:rPr>
          <w:rFonts w:hint="eastAsia" w:ascii="仿宋_GB2312" w:hAnsi="仿宋" w:eastAsia="仿宋_GB2312" w:cs="仿宋"/>
          <w:kern w:val="2"/>
          <w:szCs w:val="24"/>
          <w:highlight w:val="yellow"/>
        </w:rPr>
        <w:t>刘曙恒</w:t>
      </w:r>
      <w:r>
        <w:rPr>
          <w:rFonts w:hint="eastAsia" w:ascii="宋体" w:hAnsi="宋体" w:eastAsia="仿宋_GB2312" w:cs="宋体"/>
          <w:kern w:val="2"/>
          <w:szCs w:val="24"/>
          <w:highlight w:val="yellow"/>
        </w:rPr>
        <w:t xml:space="preserve">    </w:t>
      </w:r>
      <w:r>
        <w:rPr>
          <w:rFonts w:hint="eastAsia" w:ascii="仿宋_GB2312" w:hAnsi="仿宋" w:eastAsia="仿宋_GB2312" w:cs="仿宋"/>
          <w:kern w:val="2"/>
          <w:szCs w:val="24"/>
          <w:highlight w:val="yellow"/>
        </w:rPr>
        <w:t>电话：13923843010</w:t>
      </w:r>
    </w:p>
    <w:p>
      <w:pPr>
        <w:pStyle w:val="4"/>
        <w:shd w:val="clear" w:color="auto" w:fill="FFFFFF"/>
        <w:spacing w:beforeAutospacing="0" w:afterAutospacing="0" w:line="360" w:lineRule="auto"/>
        <w:ind w:firstLine="480" w:firstLineChars="200"/>
        <w:jc w:val="both"/>
        <w:rPr>
          <w:rFonts w:hint="default" w:ascii="仿宋_GB2312" w:hAnsi="仿宋" w:eastAsia="仿宋_GB2312" w:cs="仿宋"/>
          <w:kern w:val="2"/>
          <w:szCs w:val="24"/>
          <w:lang w:val="en-US" w:eastAsia="zh-CN"/>
        </w:rPr>
      </w:pPr>
      <w:r>
        <w:rPr>
          <w:rFonts w:hint="eastAsia" w:ascii="仿宋_GB2312" w:hAnsi="仿宋" w:eastAsia="仿宋_GB2312"/>
          <w:szCs w:val="24"/>
        </w:rPr>
        <w:t>项目技术需求及沟通联系人：</w:t>
      </w:r>
      <w:r>
        <w:rPr>
          <w:rFonts w:hint="eastAsia" w:ascii="仿宋_GB2312" w:hAnsi="仿宋" w:eastAsia="仿宋_GB2312"/>
          <w:szCs w:val="24"/>
          <w:highlight w:val="yellow"/>
          <w:lang w:val="en-US" w:eastAsia="zh-CN"/>
        </w:rPr>
        <w:t>徐成卫</w:t>
      </w:r>
      <w:r>
        <w:rPr>
          <w:rFonts w:hint="eastAsia" w:ascii="仿宋_GB2312" w:hAnsi="仿宋" w:eastAsia="仿宋_GB2312"/>
          <w:szCs w:val="24"/>
          <w:highlight w:val="yellow"/>
        </w:rPr>
        <w:t xml:space="preserve">    电话：</w:t>
      </w:r>
      <w:r>
        <w:rPr>
          <w:rFonts w:hint="eastAsia" w:ascii="仿宋_GB2312" w:hAnsi="仿宋" w:eastAsia="仿宋_GB2312"/>
          <w:szCs w:val="24"/>
          <w:highlight w:val="yellow"/>
          <w:lang w:val="en-US" w:eastAsia="zh-CN"/>
        </w:rPr>
        <w:t>18948780535</w:t>
      </w:r>
    </w:p>
    <w:p>
      <w:pPr>
        <w:pStyle w:val="4"/>
        <w:shd w:val="clear" w:color="auto" w:fill="FFFFFF"/>
        <w:spacing w:beforeAutospacing="0" w:afterAutospacing="0" w:line="360" w:lineRule="auto"/>
        <w:jc w:val="both"/>
        <w:rPr>
          <w:rFonts w:hint="eastAsia" w:ascii="仿宋_GB2312" w:eastAsia="仿宋_GB2312" w:cs="仿宋" w:hAnsiTheme="majorEastAsia"/>
          <w:kern w:val="2"/>
          <w:szCs w:val="24"/>
        </w:rPr>
      </w:pPr>
    </w:p>
    <w:p>
      <w:pPr>
        <w:pStyle w:val="4"/>
        <w:shd w:val="clear" w:color="auto" w:fill="FFFFFF"/>
        <w:spacing w:beforeAutospacing="0" w:afterAutospacing="0" w:line="360" w:lineRule="auto"/>
        <w:jc w:val="both"/>
        <w:rPr>
          <w:rFonts w:hint="eastAsia" w:ascii="仿宋_GB2312" w:eastAsia="仿宋_GB2312" w:cs="仿宋" w:hAnsiTheme="majorEastAsia"/>
          <w:b/>
          <w:kern w:val="2"/>
          <w:szCs w:val="24"/>
        </w:rPr>
      </w:pPr>
      <w:r>
        <w:rPr>
          <w:rFonts w:hint="eastAsia" w:ascii="仿宋_GB2312" w:eastAsia="仿宋_GB2312" w:cs="仿宋" w:hAnsiTheme="majorEastAsia"/>
          <w:b/>
          <w:kern w:val="2"/>
          <w:szCs w:val="24"/>
        </w:rPr>
        <w:t>附录：需提交的资料</w:t>
      </w:r>
    </w:p>
    <w:p>
      <w:pPr>
        <w:pStyle w:val="4"/>
        <w:numPr>
          <w:ilvl w:val="0"/>
          <w:numId w:val="0"/>
        </w:numPr>
        <w:shd w:val="clear" w:color="auto" w:fill="FFFFFF"/>
        <w:spacing w:beforeAutospacing="0" w:afterAutospacing="0" w:line="360" w:lineRule="auto"/>
        <w:jc w:val="both"/>
        <w:rPr>
          <w:rFonts w:hint="eastAsia" w:ascii="仿宋_GB2312" w:hAnsi="仿宋" w:eastAsia="仿宋_GB2312" w:cs="仿宋"/>
          <w:kern w:val="2"/>
          <w:szCs w:val="24"/>
        </w:rPr>
      </w:pPr>
      <w:r>
        <w:rPr>
          <w:rFonts w:hint="eastAsia" w:ascii="仿宋_GB2312" w:hAnsi="仿宋" w:eastAsia="仿宋_GB2312" w:cs="仿宋"/>
          <w:kern w:val="2"/>
          <w:szCs w:val="24"/>
          <w:lang w:val="en-US" w:eastAsia="zh-CN"/>
        </w:rPr>
        <w:t>1、</w:t>
      </w:r>
      <w:r>
        <w:rPr>
          <w:rFonts w:hint="eastAsia" w:ascii="仿宋_GB2312" w:hAnsi="仿宋" w:eastAsia="仿宋_GB2312" w:cs="仿宋"/>
          <w:kern w:val="2"/>
          <w:szCs w:val="24"/>
        </w:rPr>
        <w:t>方案报价。</w:t>
      </w:r>
    </w:p>
    <w:p>
      <w:pPr>
        <w:pStyle w:val="4"/>
        <w:numPr>
          <w:ilvl w:val="0"/>
          <w:numId w:val="0"/>
        </w:numPr>
        <w:shd w:val="clear" w:color="auto" w:fill="FFFFFF"/>
        <w:spacing w:beforeAutospacing="0" w:afterAutospacing="0" w:line="360" w:lineRule="auto"/>
        <w:jc w:val="both"/>
        <w:rPr>
          <w:rFonts w:hint="eastAsia" w:ascii="仿宋_GB2312" w:hAnsi="仿宋" w:eastAsia="仿宋_GB2312" w:cs="仿宋"/>
          <w:kern w:val="2"/>
          <w:szCs w:val="24"/>
        </w:rPr>
      </w:pPr>
      <w:r>
        <w:rPr>
          <w:rFonts w:hint="eastAsia" w:ascii="仿宋_GB2312" w:hAnsi="仿宋" w:eastAsia="仿宋_GB2312" w:cs="仿宋"/>
          <w:kern w:val="2"/>
          <w:szCs w:val="24"/>
          <w:lang w:val="en-US" w:eastAsia="zh-CN"/>
        </w:rPr>
        <w:t>2、联系人、联系电话。</w:t>
      </w:r>
    </w:p>
    <w:p>
      <w:pPr>
        <w:pStyle w:val="4"/>
        <w:shd w:val="clear" w:color="auto" w:fill="FFFFFF"/>
        <w:spacing w:beforeAutospacing="0" w:afterAutospacing="0" w:line="360" w:lineRule="auto"/>
        <w:jc w:val="both"/>
        <w:rPr>
          <w:rFonts w:hint="eastAsia" w:ascii="仿宋_GB2312" w:hAnsi="仿宋" w:eastAsia="仿宋_GB2312" w:cs="仿宋"/>
          <w:kern w:val="2"/>
          <w:szCs w:val="24"/>
        </w:rPr>
      </w:pPr>
      <w:r>
        <w:rPr>
          <w:rFonts w:hint="eastAsia" w:ascii="仿宋_GB2312" w:hAnsi="仿宋" w:eastAsia="仿宋_GB2312" w:cs="仿宋"/>
          <w:kern w:val="2"/>
          <w:szCs w:val="24"/>
          <w:lang w:val="en-US" w:eastAsia="zh-CN"/>
        </w:rPr>
        <w:t>3</w:t>
      </w:r>
      <w:r>
        <w:rPr>
          <w:rFonts w:hint="eastAsia" w:ascii="仿宋_GB2312" w:hAnsi="仿宋" w:eastAsia="仿宋_GB2312" w:cs="仿宋"/>
          <w:kern w:val="2"/>
          <w:szCs w:val="24"/>
        </w:rPr>
        <w:t>、营业执照（或事业单位法人证书，或社会团体法人登记证书，或执业许可证）、组织机构代码证和税务登记证复印件，或者“三证合一”复印件。</w:t>
      </w:r>
    </w:p>
    <w:p>
      <w:pPr>
        <w:pStyle w:val="4"/>
        <w:shd w:val="clear" w:color="auto" w:fill="FFFFFF"/>
        <w:spacing w:beforeAutospacing="0" w:afterAutospacing="0" w:line="360" w:lineRule="auto"/>
        <w:jc w:val="both"/>
        <w:rPr>
          <w:rFonts w:hint="eastAsia" w:ascii="仿宋_GB2312" w:hAnsi="仿宋" w:eastAsia="仿宋_GB2312" w:cs="仿宋"/>
          <w:kern w:val="2"/>
          <w:szCs w:val="24"/>
        </w:rPr>
      </w:pPr>
      <w:r>
        <w:rPr>
          <w:rFonts w:hint="eastAsia" w:ascii="仿宋_GB2312" w:hAnsi="仿宋" w:eastAsia="仿宋_GB2312" w:cs="仿宋"/>
          <w:kern w:val="2"/>
          <w:szCs w:val="24"/>
          <w:lang w:val="en-US" w:eastAsia="zh-CN"/>
        </w:rPr>
        <w:t>4</w:t>
      </w:r>
      <w:r>
        <w:rPr>
          <w:rFonts w:hint="eastAsia" w:ascii="仿宋_GB2312" w:hAnsi="仿宋" w:eastAsia="仿宋_GB2312" w:cs="仿宋"/>
          <w:kern w:val="2"/>
          <w:szCs w:val="24"/>
        </w:rPr>
        <w:t>、项目解决方案。</w:t>
      </w:r>
    </w:p>
    <w:p>
      <w:pPr>
        <w:pStyle w:val="4"/>
        <w:shd w:val="clear" w:color="auto" w:fill="FFFFFF"/>
        <w:spacing w:beforeAutospacing="0" w:afterAutospacing="0" w:line="360" w:lineRule="auto"/>
        <w:jc w:val="both"/>
        <w:rPr>
          <w:rFonts w:hint="eastAsia" w:ascii="仿宋_GB2312" w:hAnsi="仿宋" w:eastAsia="仿宋_GB2312" w:cs="仿宋"/>
          <w:kern w:val="2"/>
          <w:szCs w:val="24"/>
        </w:rPr>
      </w:pPr>
      <w:r>
        <w:rPr>
          <w:rFonts w:hint="eastAsia" w:ascii="仿宋_GB2312" w:hAnsi="仿宋" w:eastAsia="仿宋_GB2312" w:cs="仿宋"/>
          <w:kern w:val="2"/>
          <w:szCs w:val="24"/>
          <w:lang w:val="en-US" w:eastAsia="zh-CN"/>
        </w:rPr>
        <w:t>5</w:t>
      </w:r>
      <w:r>
        <w:rPr>
          <w:rFonts w:hint="eastAsia" w:ascii="仿宋_GB2312" w:hAnsi="仿宋" w:eastAsia="仿宋_GB2312" w:cs="仿宋"/>
          <w:kern w:val="2"/>
          <w:szCs w:val="24"/>
        </w:rPr>
        <w:t>、3年内</w:t>
      </w:r>
      <w:r>
        <w:rPr>
          <w:rFonts w:hint="eastAsia" w:eastAsia="仿宋_GB2312" w:cs="仿宋" w:asciiTheme="minorHAnsi" w:hAnsiTheme="minorHAnsi"/>
          <w:kern w:val="2"/>
          <w:szCs w:val="24"/>
        </w:rPr>
        <w:t>类似</w:t>
      </w:r>
      <w:r>
        <w:rPr>
          <w:rFonts w:hint="eastAsia" w:ascii="仿宋_GB2312" w:hAnsi="仿宋" w:eastAsia="仿宋_GB2312" w:cs="仿宋"/>
          <w:kern w:val="2"/>
          <w:szCs w:val="24"/>
        </w:rPr>
        <w:t>项目资料（合同或中标通知书复印件，单位及联系人、联系电话）。</w:t>
      </w:r>
    </w:p>
    <w:p>
      <w:pPr>
        <w:pStyle w:val="4"/>
        <w:shd w:val="clear" w:color="auto" w:fill="FFFFFF"/>
        <w:spacing w:beforeAutospacing="0" w:afterAutospacing="0" w:line="360" w:lineRule="auto"/>
        <w:jc w:val="both"/>
        <w:rPr>
          <w:rFonts w:hint="eastAsia" w:ascii="仿宋_GB2312" w:hAnsi="仿宋" w:eastAsia="仿宋_GB2312" w:cs="仿宋"/>
          <w:kern w:val="2"/>
          <w:szCs w:val="24"/>
        </w:rPr>
      </w:pPr>
      <w:r>
        <w:rPr>
          <w:rFonts w:hint="eastAsia" w:ascii="仿宋_GB2312" w:hAnsi="仿宋" w:eastAsia="仿宋_GB2312" w:cs="仿宋"/>
          <w:kern w:val="2"/>
          <w:szCs w:val="24"/>
          <w:lang w:val="en-US" w:eastAsia="zh-CN"/>
        </w:rPr>
        <w:t>6</w:t>
      </w:r>
      <w:r>
        <w:rPr>
          <w:rFonts w:hint="eastAsia" w:ascii="仿宋_GB2312" w:hAnsi="仿宋" w:eastAsia="仿宋_GB2312" w:cs="仿宋"/>
          <w:kern w:val="2"/>
          <w:szCs w:val="24"/>
        </w:rPr>
        <w:t>、每份资料均要加盖公章。</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B1C62"/>
    <w:multiLevelType w:val="multilevel"/>
    <w:tmpl w:val="1ABB1C62"/>
    <w:lvl w:ilvl="0" w:tentative="0">
      <w:start w:val="1"/>
      <w:numFmt w:val="japaneseCounting"/>
      <w:lvlText w:val="%1、"/>
      <w:lvlJc w:val="left"/>
      <w:pPr>
        <w:ind w:left="2422"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40A2D"/>
    <w:rsid w:val="00074C18"/>
    <w:rsid w:val="000770F3"/>
    <w:rsid w:val="000E4E58"/>
    <w:rsid w:val="000E5E98"/>
    <w:rsid w:val="000E7588"/>
    <w:rsid w:val="00123C35"/>
    <w:rsid w:val="00147EB2"/>
    <w:rsid w:val="001853AE"/>
    <w:rsid w:val="00185DF0"/>
    <w:rsid w:val="001B7213"/>
    <w:rsid w:val="001B7387"/>
    <w:rsid w:val="001C5176"/>
    <w:rsid w:val="001C5D73"/>
    <w:rsid w:val="002327EF"/>
    <w:rsid w:val="00235B4A"/>
    <w:rsid w:val="00244E1D"/>
    <w:rsid w:val="00245347"/>
    <w:rsid w:val="00277B65"/>
    <w:rsid w:val="002B2DF1"/>
    <w:rsid w:val="002C39F8"/>
    <w:rsid w:val="002D2926"/>
    <w:rsid w:val="00302550"/>
    <w:rsid w:val="00323B43"/>
    <w:rsid w:val="00356C0F"/>
    <w:rsid w:val="0039568C"/>
    <w:rsid w:val="003C7A41"/>
    <w:rsid w:val="003D37D8"/>
    <w:rsid w:val="004001D4"/>
    <w:rsid w:val="00426133"/>
    <w:rsid w:val="004358AB"/>
    <w:rsid w:val="00451842"/>
    <w:rsid w:val="004760BE"/>
    <w:rsid w:val="00506F1D"/>
    <w:rsid w:val="00536BE2"/>
    <w:rsid w:val="00566FBA"/>
    <w:rsid w:val="00583326"/>
    <w:rsid w:val="00596FD0"/>
    <w:rsid w:val="005B4461"/>
    <w:rsid w:val="00681270"/>
    <w:rsid w:val="00715D00"/>
    <w:rsid w:val="0075736A"/>
    <w:rsid w:val="007629C0"/>
    <w:rsid w:val="007B7944"/>
    <w:rsid w:val="007D3FD3"/>
    <w:rsid w:val="007E0142"/>
    <w:rsid w:val="0084398F"/>
    <w:rsid w:val="00891DCC"/>
    <w:rsid w:val="00893C31"/>
    <w:rsid w:val="00896D0C"/>
    <w:rsid w:val="008B27AC"/>
    <w:rsid w:val="008B7398"/>
    <w:rsid w:val="008B7726"/>
    <w:rsid w:val="008E1DB1"/>
    <w:rsid w:val="00921DF8"/>
    <w:rsid w:val="00934EF2"/>
    <w:rsid w:val="00935207"/>
    <w:rsid w:val="009E5F9C"/>
    <w:rsid w:val="00A509BA"/>
    <w:rsid w:val="00A54E4B"/>
    <w:rsid w:val="00A619AD"/>
    <w:rsid w:val="00A727C8"/>
    <w:rsid w:val="00AA612A"/>
    <w:rsid w:val="00AB44EF"/>
    <w:rsid w:val="00AC490D"/>
    <w:rsid w:val="00AF2A4C"/>
    <w:rsid w:val="00B225E3"/>
    <w:rsid w:val="00B36113"/>
    <w:rsid w:val="00B377F0"/>
    <w:rsid w:val="00BE0003"/>
    <w:rsid w:val="00BE7813"/>
    <w:rsid w:val="00BF165D"/>
    <w:rsid w:val="00C06DEE"/>
    <w:rsid w:val="00C60FDB"/>
    <w:rsid w:val="00CC23B7"/>
    <w:rsid w:val="00CF418D"/>
    <w:rsid w:val="00D31D50"/>
    <w:rsid w:val="00D402CD"/>
    <w:rsid w:val="00D97500"/>
    <w:rsid w:val="00DC3190"/>
    <w:rsid w:val="00DD3961"/>
    <w:rsid w:val="00DE2646"/>
    <w:rsid w:val="00DF2DEC"/>
    <w:rsid w:val="00E81B1B"/>
    <w:rsid w:val="00E8789A"/>
    <w:rsid w:val="00E92D05"/>
    <w:rsid w:val="00EA643F"/>
    <w:rsid w:val="00ED1929"/>
    <w:rsid w:val="00EE5F7F"/>
    <w:rsid w:val="00F11C0F"/>
    <w:rsid w:val="00F14114"/>
    <w:rsid w:val="00F7402B"/>
    <w:rsid w:val="00F76894"/>
    <w:rsid w:val="00F87D7F"/>
    <w:rsid w:val="00FB4666"/>
    <w:rsid w:val="0BCA7E67"/>
    <w:rsid w:val="0C6627BB"/>
    <w:rsid w:val="12823D29"/>
    <w:rsid w:val="164D4B2C"/>
    <w:rsid w:val="1CAC2FA1"/>
    <w:rsid w:val="261558B9"/>
    <w:rsid w:val="286A4367"/>
    <w:rsid w:val="29F14981"/>
    <w:rsid w:val="5E155992"/>
    <w:rsid w:val="6151078F"/>
    <w:rsid w:val="647924D6"/>
    <w:rsid w:val="652D113E"/>
    <w:rsid w:val="6E624437"/>
    <w:rsid w:val="75487EFE"/>
    <w:rsid w:val="7A143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qFormat/>
    <w:uiPriority w:val="0"/>
    <w:pPr>
      <w:widowControl w:val="0"/>
      <w:adjustRightInd/>
      <w:snapToGrid/>
      <w:spacing w:beforeAutospacing="1" w:after="0" w:afterAutospacing="1"/>
    </w:pPr>
    <w:rPr>
      <w:rFonts w:ascii="Calibri" w:hAnsi="Calibri" w:eastAsia="宋体" w:cs="Times New Roman"/>
      <w:sz w:val="24"/>
    </w:rPr>
  </w:style>
  <w:style w:type="character" w:styleId="7">
    <w:name w:val="Hyperlink"/>
    <w:basedOn w:val="6"/>
    <w:unhideWhenUsed/>
    <w:uiPriority w:val="99"/>
    <w:rPr>
      <w:color w:val="0000FF" w:themeColor="hyperlink"/>
      <w:u w:val="single"/>
      <w14:textFill>
        <w14:solidFill>
          <w14:schemeClr w14:val="hlink"/>
        </w14:solidFill>
      </w14:textFill>
    </w:rPr>
  </w:style>
  <w:style w:type="character" w:customStyle="1" w:styleId="8">
    <w:name w:val="页眉 字符"/>
    <w:basedOn w:val="6"/>
    <w:link w:val="3"/>
    <w:uiPriority w:val="99"/>
    <w:rPr>
      <w:rFonts w:ascii="Tahoma" w:hAnsi="Tahoma"/>
      <w:sz w:val="18"/>
      <w:szCs w:val="18"/>
    </w:rPr>
  </w:style>
  <w:style w:type="character" w:customStyle="1" w:styleId="9">
    <w:name w:val="页脚 字符"/>
    <w:basedOn w:val="6"/>
    <w:link w:val="2"/>
    <w:uiPriority w:val="99"/>
    <w:rPr>
      <w:rFonts w:ascii="Tahoma" w:hAnsi="Tahoma"/>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427</Words>
  <Characters>2439</Characters>
  <Lines>20</Lines>
  <Paragraphs>5</Paragraphs>
  <TotalTime>3</TotalTime>
  <ScaleCrop>false</ScaleCrop>
  <LinksUpToDate>false</LinksUpToDate>
  <CharactersWithSpaces>2861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2026-05-18T03:18:00Z</dcterms:created>
  <dc:creator>Administrator</dc:creator>
  <cp:lastModifiedBy>rrrad</cp:lastModifiedBy>
  <dcterms:modified xsi:type="dcterms:W3CDTF">2026-05-20T09:45:36Z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eyJoZGlkIjoiNjk0OTU1MzIxOWM0ZmZkNGMzMDE0YmYyNzA2NjNkYjMiLCJ1c2VySWQiOiIxMTI0NjE1OTU0In0=</vt:lpwstr>
  </property>
  <property fmtid="{D5CDD505-2E9C-101B-9397-08002B2CF9AE}" pid="3" name="KSOProductBuildVer">
    <vt:lpwstr>2052-11.8.2.12094</vt:lpwstr>
  </property>
  <property fmtid="{D5CDD505-2E9C-101B-9397-08002B2CF9AE}" pid="4" name="ICV">
    <vt:lpwstr>BC7CD13886BF4CB79248A0E783F1E2C6_13</vt:lpwstr>
  </property>
</Properties>
</file>