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7"/>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：南山区卫生健康系统2026年“健康杯”羽毛球比赛服务</w:t>
      </w:r>
    </w:p>
    <w:p w14:paraId="3159F1BD">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8万元</w:t>
      </w:r>
    </w:p>
    <w:p w14:paraId="752E2AC0">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资金来源：其他</w:t>
      </w:r>
    </w:p>
    <w:p w14:paraId="5B3EB997">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）：南山区卫生健康局工联会下拨专项经费</w:t>
      </w:r>
    </w:p>
    <w:p w14:paraId="0B639E36">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申请科室（归口科室）：党政办公室</w:t>
      </w:r>
    </w:p>
    <w:p w14:paraId="7D60713D">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科室</w:t>
      </w:r>
      <w:r>
        <w:rPr>
          <w:rFonts w:hint="eastAsia" w:ascii="仿宋_GB2312" w:hAnsi="仿宋_GB2312" w:eastAsia="仿宋_GB2312" w:cs="仿宋_GB2312"/>
          <w:kern w:val="0"/>
          <w:sz w:val="28"/>
          <w:szCs w:val="28"/>
        </w:rPr>
        <w:t>负责人/联系</w:t>
      </w:r>
      <w:r>
        <w:rPr>
          <w:rFonts w:hint="eastAsia" w:ascii="仿宋_GB2312" w:hAnsi="仿宋_GB2312" w:eastAsia="仿宋_GB2312" w:cs="仿宋_GB2312"/>
          <w:kern w:val="0"/>
          <w:sz w:val="28"/>
          <w:szCs w:val="28"/>
          <w:lang w:val="en-US" w:eastAsia="zh-CN"/>
        </w:rPr>
        <w:t>方式：庞磊/13500060179</w:t>
      </w:r>
    </w:p>
    <w:p w14:paraId="0444FBD3">
      <w:pPr>
        <w:pStyle w:val="17"/>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394FBE4B">
      <w:pPr>
        <w:pStyle w:val="17"/>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7"/>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举办1次</w:t>
      </w:r>
      <w:r>
        <w:rPr>
          <w:rFonts w:hint="eastAsia" w:ascii="仿宋_GB2312" w:hAnsi="仿宋_GB2312" w:eastAsia="仿宋_GB2312" w:cs="仿宋_GB2312"/>
          <w:kern w:val="2"/>
          <w:sz w:val="28"/>
          <w:szCs w:val="28"/>
          <w:u w:val="single"/>
          <w:lang w:val="en-US" w:eastAsia="zh-CN" w:bidi="ar-SA"/>
        </w:rPr>
        <w:t>南山区卫生健康系统2026年“健康杯”羽毛球比赛，</w:t>
      </w:r>
      <w:r>
        <w:rPr>
          <w:rFonts w:hint="eastAsia" w:ascii="仿宋_GB2312" w:hAnsi="仿宋_GB2312" w:eastAsia="仿宋_GB2312" w:cs="仿宋_GB2312"/>
          <w:sz w:val="28"/>
          <w:szCs w:val="28"/>
          <w:u w:val="single"/>
          <w:lang w:val="en-US" w:eastAsia="zh-CN"/>
        </w:rPr>
        <w:t>丰富系统职工精神文化生活，增强南山区卫生健康系统职工队伍的凝聚力和向心力。</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0"/>
        </w:numPr>
        <w:spacing w:line="360" w:lineRule="auto"/>
        <w:ind w:left="425" w:leftChars="0" w:hanging="425" w:firstLineChars="0"/>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3"/>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b/>
          <w:bCs/>
          <w:kern w:val="2"/>
          <w:sz w:val="28"/>
          <w:szCs w:val="28"/>
          <w:lang w:val="en-US" w:eastAsia="zh-CN" w:bidi="ar-SA"/>
        </w:rPr>
        <w:t>（三）</w:t>
      </w: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11"/>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189"/>
        <w:gridCol w:w="1601"/>
        <w:gridCol w:w="968"/>
        <w:gridCol w:w="1200"/>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47"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189"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47"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kern w:val="0"/>
                <w:sz w:val="28"/>
                <w:szCs w:val="28"/>
                <w:lang w:eastAsia="zh-CN"/>
              </w:rPr>
              <w:t>羽毛球比赛服务</w:t>
            </w:r>
          </w:p>
        </w:tc>
        <w:tc>
          <w:tcPr>
            <w:tcW w:w="2189"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C99000000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次</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80000</w:t>
            </w:r>
          </w:p>
        </w:tc>
      </w:tr>
    </w:tbl>
    <w:p w14:paraId="55245E7B">
      <w:pPr>
        <w:numPr>
          <w:ilvl w:val="0"/>
          <w:numId w:val="0"/>
        </w:numPr>
        <w:ind w:left="0" w:leftChars="0"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（五）</w:t>
      </w:r>
      <w:r>
        <w:rPr>
          <w:rFonts w:hint="eastAsia" w:ascii="仿宋_GB2312" w:hAnsi="仿宋_GB2312" w:eastAsia="仿宋_GB2312" w:cs="仿宋_GB2312"/>
          <w:b/>
          <w:bCs/>
          <w:sz w:val="28"/>
          <w:szCs w:val="28"/>
          <w:lang w:val="en-US" w:eastAsia="zh-CN"/>
        </w:rPr>
        <w:t>按照规定及项目情况设置投标供应商资格要求：</w:t>
      </w:r>
    </w:p>
    <w:p w14:paraId="0C933BAF">
      <w:pPr>
        <w:ind w:firstLine="560" w:firstLineChars="200"/>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1.具备独立法人资格或其他组织，能够独立承担民事责任，不接受分公司或分支机构参与投标。</w:t>
      </w:r>
    </w:p>
    <w:p w14:paraId="50EED0D5">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lang w:eastAsia="zh-CN"/>
        </w:rPr>
        <w:t>参与本项</w:t>
      </w:r>
      <w:r>
        <w:rPr>
          <w:rFonts w:hint="eastAsia" w:ascii="仿宋_GB2312" w:hAnsi="仿宋_GB2312" w:eastAsia="仿宋_GB2312" w:cs="仿宋_GB2312"/>
          <w:sz w:val="28"/>
          <w:szCs w:val="32"/>
          <w:lang w:val="en-US" w:eastAsia="zh-CN"/>
        </w:rPr>
        <w:t>目</w:t>
      </w:r>
      <w:r>
        <w:rPr>
          <w:rFonts w:hint="eastAsia" w:ascii="仿宋_GB2312" w:hAnsi="仿宋_GB2312" w:eastAsia="仿宋_GB2312" w:cs="仿宋_GB2312"/>
          <w:sz w:val="28"/>
          <w:szCs w:val="32"/>
          <w:lang w:eastAsia="zh-CN"/>
        </w:rPr>
        <w:t>投标前三年内，在经营活动中</w:t>
      </w:r>
      <w:r>
        <w:rPr>
          <w:rFonts w:hint="eastAsia" w:ascii="仿宋_GB2312" w:hAnsi="仿宋_GB2312" w:eastAsia="仿宋_GB2312" w:cs="仿宋_GB2312"/>
          <w:sz w:val="28"/>
          <w:szCs w:val="32"/>
          <w:lang w:val="en-US" w:eastAsia="zh-CN"/>
        </w:rPr>
        <w:t>无重大</w:t>
      </w:r>
      <w:r>
        <w:rPr>
          <w:rFonts w:hint="eastAsia" w:ascii="仿宋_GB2312" w:hAnsi="仿宋_GB2312" w:eastAsia="仿宋_GB2312" w:cs="仿宋_GB2312"/>
          <w:sz w:val="28"/>
          <w:szCs w:val="32"/>
          <w:lang w:eastAsia="zh-CN"/>
        </w:rPr>
        <w:t>违法记录</w:t>
      </w:r>
      <w:r>
        <w:rPr>
          <w:rFonts w:hint="eastAsia" w:ascii="仿宋_GB2312" w:hAnsi="仿宋_GB2312" w:eastAsia="仿宋_GB2312" w:cs="仿宋_GB2312"/>
          <w:sz w:val="28"/>
          <w:szCs w:val="32"/>
        </w:rPr>
        <w:t>。</w:t>
      </w:r>
    </w:p>
    <w:p w14:paraId="6F40C616">
      <w:pPr>
        <w:rPr>
          <w:rFonts w:hint="eastAsia"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 xml:space="preserve">    3.参加投标的供应商未被列入失信被执行人或重大税收违法案件当事人名单或政府采购严重违法失信行为记录名单；不处于“政府采购严重违法失信行为信息记录”中的禁止参加政府采购活动期间。</w:t>
      </w:r>
    </w:p>
    <w:p w14:paraId="4EEEB5C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5DCA6E5C">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462EADDA">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（1）性能要求：</w:t>
      </w:r>
      <w:r>
        <w:rPr>
          <w:rFonts w:hint="default" w:ascii="仿宋_GB2312" w:hAnsi="仿宋_GB2312" w:eastAsia="仿宋_GB2312" w:cs="仿宋_GB2312"/>
          <w:kern w:val="2"/>
          <w:sz w:val="28"/>
          <w:szCs w:val="28"/>
          <w:lang w:val="en-US" w:eastAsia="zh-CN" w:bidi="ar-SA"/>
        </w:rPr>
        <w:t>供应商具备区级及以上机关、事业单位羽毛球或同类体育赛事策划与执行经验，提供过往</w:t>
      </w:r>
      <w:r>
        <w:rPr>
          <w:rFonts w:hint="eastAsia" w:ascii="仿宋_GB2312" w:hAnsi="仿宋_GB2312" w:eastAsia="仿宋_GB2312" w:cs="仿宋_GB2312"/>
          <w:kern w:val="2"/>
          <w:sz w:val="28"/>
          <w:szCs w:val="28"/>
          <w:lang w:val="en-US" w:eastAsia="zh-CN" w:bidi="ar-SA"/>
        </w:rPr>
        <w:t>承办</w:t>
      </w:r>
      <w:r>
        <w:rPr>
          <w:rFonts w:hint="default" w:ascii="仿宋_GB2312" w:hAnsi="仿宋_GB2312" w:eastAsia="仿宋_GB2312" w:cs="仿宋_GB2312"/>
          <w:kern w:val="2"/>
          <w:sz w:val="28"/>
          <w:szCs w:val="28"/>
          <w:lang w:val="en-US" w:eastAsia="zh-CN" w:bidi="ar-SA"/>
        </w:rPr>
        <w:t>案例</w:t>
      </w:r>
      <w:r>
        <w:rPr>
          <w:rFonts w:hint="eastAsia" w:ascii="仿宋_GB2312" w:hAnsi="仿宋_GB2312" w:eastAsia="仿宋_GB2312" w:cs="仿宋_GB2312"/>
          <w:kern w:val="2"/>
          <w:sz w:val="28"/>
          <w:szCs w:val="28"/>
          <w:lang w:val="en-US" w:eastAsia="zh-CN" w:bidi="ar-SA"/>
        </w:rPr>
        <w:t>；供应商须提供中标通知书或项目合同关键页（包括但不限于：合同名称页、合同主要内容页、合同签订日期页、合同双方签字盖章页、能体现有效业绩的内容页）扫描件。</w:t>
      </w:r>
    </w:p>
    <w:p w14:paraId="7F7B637F">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（2）服务内容</w:t>
      </w:r>
    </w:p>
    <w:tbl>
      <w:tblPr>
        <w:tblStyle w:val="11"/>
        <w:tblW w:w="8918" w:type="dxa"/>
        <w:tblInd w:w="0" w:type="dxa"/>
        <w:tblLayout w:type="fixed"/>
        <w:tblCellMar>
          <w:top w:w="0" w:type="dxa"/>
          <w:left w:w="108" w:type="dxa"/>
          <w:bottom w:w="0" w:type="dxa"/>
          <w:right w:w="108" w:type="dxa"/>
        </w:tblCellMar>
      </w:tblPr>
      <w:tblGrid>
        <w:gridCol w:w="761"/>
        <w:gridCol w:w="1434"/>
        <w:gridCol w:w="6723"/>
      </w:tblGrid>
      <w:tr w14:paraId="5C0BADC6">
        <w:tblPrEx>
          <w:tblCellMar>
            <w:top w:w="0" w:type="dxa"/>
            <w:left w:w="108" w:type="dxa"/>
            <w:bottom w:w="0" w:type="dxa"/>
            <w:right w:w="108" w:type="dxa"/>
          </w:tblCellMar>
        </w:tblPrEx>
        <w:trPr>
          <w:trHeight w:val="578"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4EC3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434" w:type="dxa"/>
            <w:tcBorders>
              <w:top w:val="single" w:color="auto" w:sz="4" w:space="0"/>
              <w:left w:val="nil"/>
              <w:bottom w:val="single" w:color="auto" w:sz="4" w:space="0"/>
              <w:right w:val="single" w:color="auto" w:sz="4" w:space="0"/>
            </w:tcBorders>
            <w:shd w:val="clear" w:color="auto" w:fill="auto"/>
            <w:noWrap/>
            <w:vAlign w:val="center"/>
          </w:tcPr>
          <w:p w14:paraId="294071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服务内容</w:t>
            </w:r>
          </w:p>
        </w:tc>
        <w:tc>
          <w:tcPr>
            <w:tcW w:w="6723" w:type="dxa"/>
            <w:tcBorders>
              <w:top w:val="single" w:color="auto" w:sz="4" w:space="0"/>
              <w:left w:val="nil"/>
              <w:bottom w:val="single" w:color="auto" w:sz="4" w:space="0"/>
              <w:right w:val="single" w:color="auto" w:sz="4" w:space="0"/>
            </w:tcBorders>
            <w:shd w:val="clear" w:color="auto" w:fill="auto"/>
            <w:noWrap/>
            <w:vAlign w:val="center"/>
          </w:tcPr>
          <w:p w14:paraId="11BDF1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rPr>
              <w:t>具体工作</w:t>
            </w:r>
            <w:r>
              <w:rPr>
                <w:rFonts w:hint="eastAsia" w:ascii="仿宋_GB2312" w:hAnsi="仿宋_GB2312" w:eastAsia="仿宋_GB2312" w:cs="仿宋_GB2312"/>
                <w:b/>
                <w:bCs/>
                <w:color w:val="auto"/>
                <w:kern w:val="0"/>
                <w:sz w:val="24"/>
                <w:szCs w:val="24"/>
                <w:lang w:val="en-US" w:eastAsia="zh-CN"/>
              </w:rPr>
              <w:t>及要求</w:t>
            </w:r>
          </w:p>
        </w:tc>
      </w:tr>
      <w:tr w14:paraId="1142A91A">
        <w:tblPrEx>
          <w:tblCellMar>
            <w:top w:w="0" w:type="dxa"/>
            <w:left w:w="108" w:type="dxa"/>
            <w:bottom w:w="0" w:type="dxa"/>
            <w:right w:w="108" w:type="dxa"/>
          </w:tblCellMar>
        </w:tblPrEx>
        <w:trPr>
          <w:trHeight w:val="70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FF4F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434" w:type="dxa"/>
            <w:tcBorders>
              <w:top w:val="single" w:color="auto" w:sz="4" w:space="0"/>
              <w:left w:val="nil"/>
              <w:bottom w:val="single" w:color="auto" w:sz="4" w:space="0"/>
              <w:right w:val="single" w:color="auto" w:sz="4" w:space="0"/>
            </w:tcBorders>
            <w:shd w:val="clear" w:color="auto" w:fill="auto"/>
            <w:noWrap/>
            <w:vAlign w:val="center"/>
          </w:tcPr>
          <w:p w14:paraId="0BE9F9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活动策划</w:t>
            </w:r>
          </w:p>
        </w:tc>
        <w:tc>
          <w:tcPr>
            <w:tcW w:w="6723" w:type="dxa"/>
            <w:tcBorders>
              <w:top w:val="single" w:color="auto" w:sz="4" w:space="0"/>
              <w:left w:val="nil"/>
              <w:bottom w:val="single" w:color="auto" w:sz="4" w:space="0"/>
              <w:right w:val="single" w:color="auto" w:sz="4" w:space="0"/>
            </w:tcBorders>
            <w:shd w:val="clear" w:color="auto" w:fill="auto"/>
            <w:noWrap/>
            <w:vAlign w:val="center"/>
          </w:tcPr>
          <w:p w14:paraId="468B23C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对活动目的进行分析，结合</w:t>
            </w:r>
            <w:r>
              <w:rPr>
                <w:rFonts w:hint="eastAsia" w:ascii="仿宋_GB2312" w:hAnsi="仿宋_GB2312" w:eastAsia="仿宋_GB2312" w:cs="仿宋_GB2312"/>
                <w:color w:val="auto"/>
                <w:sz w:val="24"/>
                <w:szCs w:val="24"/>
                <w:lang w:val="en-US" w:eastAsia="zh-CN"/>
              </w:rPr>
              <w:t>活动</w:t>
            </w:r>
            <w:r>
              <w:rPr>
                <w:rFonts w:hint="eastAsia" w:ascii="仿宋_GB2312" w:hAnsi="仿宋_GB2312" w:eastAsia="仿宋_GB2312" w:cs="仿宋_GB2312"/>
                <w:color w:val="auto"/>
                <w:sz w:val="24"/>
                <w:szCs w:val="24"/>
              </w:rPr>
              <w:t>场地，设计活动详细方案</w:t>
            </w:r>
            <w:r>
              <w:rPr>
                <w:rFonts w:hint="eastAsia" w:ascii="仿宋_GB2312" w:hAnsi="仿宋_GB2312" w:eastAsia="仿宋_GB2312" w:cs="仿宋_GB2312"/>
                <w:color w:val="auto"/>
                <w:sz w:val="24"/>
                <w:szCs w:val="24"/>
                <w:lang w:eastAsia="zh-CN"/>
              </w:rPr>
              <w:t>；</w:t>
            </w:r>
          </w:p>
          <w:p w14:paraId="6C800FA6">
            <w:pPr>
              <w:keepNext w:val="0"/>
              <w:keepLines w:val="0"/>
              <w:widowControl/>
              <w:suppressLineNumbers w:val="0"/>
              <w:jc w:val="left"/>
              <w:rPr>
                <w:rFonts w:hint="eastAsia" w:ascii="仿宋_GB2312" w:hAnsi="仿宋_GB2312" w:eastAsia="仿宋_GB2312" w:cs="仿宋_GB2312"/>
                <w:color w:val="auto"/>
                <w:sz w:val="24"/>
                <w:szCs w:val="24"/>
                <w:highlight w:val="yellow"/>
                <w:lang w:eastAsia="zh-CN"/>
              </w:rPr>
            </w:pPr>
            <w:r>
              <w:rPr>
                <w:rFonts w:hint="eastAsia" w:ascii="仿宋_GB2312" w:hAnsi="仿宋_GB2312" w:eastAsia="仿宋_GB2312" w:cs="仿宋_GB2312"/>
                <w:color w:val="auto"/>
                <w:kern w:val="0"/>
                <w:sz w:val="24"/>
                <w:szCs w:val="24"/>
                <w:lang w:val="en-US" w:eastAsia="zh-CN" w:bidi="ar"/>
              </w:rPr>
              <w:t>（2）方案需包含活动整体流程，以及详细报价明细</w:t>
            </w:r>
            <w:r>
              <w:rPr>
                <w:rFonts w:hint="eastAsia" w:ascii="仿宋_GB2312" w:hAnsi="仿宋_GB2312" w:eastAsia="仿宋_GB2312" w:cs="仿宋_GB2312"/>
                <w:color w:val="auto"/>
                <w:kern w:val="0"/>
                <w:sz w:val="24"/>
                <w:szCs w:val="24"/>
                <w:highlight w:val="yellow"/>
                <w:lang w:val="en-US" w:eastAsia="zh-CN" w:bidi="ar"/>
              </w:rPr>
              <w:t>（报价需包含场租、裁判、比赛用球、现场布置、补给品、耗材、奖品等完成比赛所必备的所有内容，分项列明）</w:t>
            </w:r>
            <w:r>
              <w:rPr>
                <w:rFonts w:hint="eastAsia" w:ascii="仿宋_GB2312" w:hAnsi="仿宋_GB2312" w:eastAsia="仿宋_GB2312" w:cs="仿宋_GB2312"/>
                <w:color w:val="auto"/>
                <w:sz w:val="24"/>
                <w:szCs w:val="24"/>
                <w:highlight w:val="yellow"/>
                <w:lang w:eastAsia="zh-CN"/>
              </w:rPr>
              <w:t>；</w:t>
            </w:r>
          </w:p>
          <w:p w14:paraId="6DE858FD">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（3）方案需经采购人审核确认，供应商需配合采购人完成方案修改和完善，直至符合要求；</w:t>
            </w:r>
          </w:p>
          <w:p w14:paraId="206DDCC8">
            <w:pPr>
              <w:pStyle w:val="5"/>
              <w:rPr>
                <w:rFonts w:hint="eastAsia" w:eastAsiaTheme="minorEastAsia"/>
                <w:lang w:eastAsia="zh-CN"/>
              </w:rPr>
            </w:pPr>
            <w:r>
              <w:rPr>
                <w:rFonts w:hint="eastAsia" w:ascii="仿宋_GB2312" w:hAnsi="仿宋_GB2312" w:eastAsia="仿宋_GB2312" w:cs="仿宋_GB2312"/>
                <w:color w:val="auto"/>
                <w:kern w:val="0"/>
                <w:sz w:val="24"/>
                <w:szCs w:val="24"/>
                <w:lang w:val="en-US" w:eastAsia="zh-CN" w:bidi="ar"/>
              </w:rPr>
              <w:t>（4）现场需配备经验丰富的项目对接人（不少于1名），与采购方保持沟通。</w:t>
            </w:r>
          </w:p>
        </w:tc>
      </w:tr>
      <w:tr w14:paraId="6ACF47E6">
        <w:tblPrEx>
          <w:tblCellMar>
            <w:top w:w="0" w:type="dxa"/>
            <w:left w:w="108" w:type="dxa"/>
            <w:bottom w:w="0" w:type="dxa"/>
            <w:right w:w="108" w:type="dxa"/>
          </w:tblCellMar>
        </w:tblPrEx>
        <w:trPr>
          <w:trHeight w:val="1240"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3392179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p>
        </w:tc>
        <w:tc>
          <w:tcPr>
            <w:tcW w:w="1434" w:type="dxa"/>
            <w:tcBorders>
              <w:top w:val="nil"/>
              <w:left w:val="nil"/>
              <w:bottom w:val="single" w:color="auto" w:sz="4" w:space="0"/>
              <w:right w:val="single" w:color="auto" w:sz="4" w:space="0"/>
            </w:tcBorders>
            <w:shd w:val="clear" w:color="auto" w:fill="auto"/>
            <w:noWrap/>
            <w:vAlign w:val="center"/>
          </w:tcPr>
          <w:p w14:paraId="2FAFD9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整体执行</w:t>
            </w:r>
          </w:p>
        </w:tc>
        <w:tc>
          <w:tcPr>
            <w:tcW w:w="6723" w:type="dxa"/>
            <w:tcBorders>
              <w:top w:val="nil"/>
              <w:left w:val="nil"/>
              <w:bottom w:val="single" w:color="auto" w:sz="4" w:space="0"/>
              <w:right w:val="single" w:color="auto" w:sz="4" w:space="0"/>
            </w:tcBorders>
            <w:shd w:val="clear" w:color="auto" w:fill="auto"/>
            <w:vAlign w:val="center"/>
          </w:tcPr>
          <w:p w14:paraId="62BAAC5B">
            <w:pPr>
              <w:keepNext w:val="0"/>
              <w:keepLines w:val="0"/>
              <w:widowControl/>
              <w:numPr>
                <w:ilvl w:val="0"/>
                <w:numId w:val="4"/>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赛事规模：南山区卫生健康系统</w:t>
            </w:r>
            <w:r>
              <w:rPr>
                <w:rFonts w:hint="eastAsia" w:ascii="仿宋_GB2312" w:hAnsi="仿宋_GB2312" w:eastAsia="仿宋_GB2312" w:cs="仿宋_GB2312"/>
                <w:color w:val="auto"/>
                <w:kern w:val="0"/>
                <w:sz w:val="24"/>
                <w:szCs w:val="24"/>
                <w:highlight w:val="yellow"/>
                <w:lang w:val="en-US" w:eastAsia="zh-CN" w:bidi="ar"/>
              </w:rPr>
              <w:t>不少于200名</w:t>
            </w:r>
            <w:r>
              <w:rPr>
                <w:rFonts w:hint="eastAsia" w:ascii="仿宋_GB2312" w:hAnsi="仿宋_GB2312" w:eastAsia="仿宋_GB2312" w:cs="仿宋_GB2312"/>
                <w:color w:val="auto"/>
                <w:kern w:val="0"/>
                <w:sz w:val="24"/>
                <w:szCs w:val="24"/>
                <w:lang w:val="en-US" w:eastAsia="zh-CN" w:bidi="ar"/>
              </w:rPr>
              <w:t>参赛队员，赛程2天；</w:t>
            </w:r>
          </w:p>
          <w:p w14:paraId="7B178C18">
            <w:pPr>
              <w:keepNext w:val="0"/>
              <w:keepLines w:val="0"/>
              <w:widowControl/>
              <w:numPr>
                <w:ilvl w:val="0"/>
                <w:numId w:val="4"/>
              </w:numPr>
              <w:suppressLineNumbers w:val="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比赛场地：室内专业羽毛球场馆，</w:t>
            </w:r>
            <w:r>
              <w:rPr>
                <w:rFonts w:hint="eastAsia" w:ascii="仿宋_GB2312" w:hAnsi="仿宋_GB2312" w:eastAsia="仿宋_GB2312" w:cs="仿宋_GB2312"/>
                <w:color w:val="auto"/>
                <w:kern w:val="0"/>
                <w:sz w:val="24"/>
                <w:szCs w:val="24"/>
                <w:highlight w:val="yellow"/>
                <w:lang w:val="en-US" w:eastAsia="zh-CN" w:bidi="ar"/>
              </w:rPr>
              <w:t>不少于9片场地</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0"/>
                <w:sz w:val="24"/>
                <w:szCs w:val="24"/>
                <w:lang w:val="en-US" w:eastAsia="zh-CN" w:bidi="ar"/>
              </w:rPr>
              <w:t>人员配置：现场需配备</w:t>
            </w:r>
            <w:r>
              <w:rPr>
                <w:rFonts w:hint="eastAsia" w:ascii="仿宋_GB2312" w:hAnsi="仿宋_GB2312" w:eastAsia="仿宋_GB2312" w:cs="仿宋_GB2312"/>
                <w:color w:val="auto"/>
                <w:kern w:val="2"/>
                <w:sz w:val="24"/>
                <w:szCs w:val="24"/>
                <w:lang w:val="en-US" w:eastAsia="zh-CN" w:bidi="ar-SA"/>
              </w:rPr>
              <w:t>16名及以上</w:t>
            </w:r>
            <w:r>
              <w:rPr>
                <w:rFonts w:hint="eastAsia" w:ascii="仿宋_GB2312" w:hAnsi="仿宋_GB2312" w:eastAsia="仿宋_GB2312" w:cs="仿宋_GB2312"/>
                <w:color w:val="auto"/>
                <w:kern w:val="0"/>
                <w:sz w:val="24"/>
                <w:szCs w:val="24"/>
                <w:lang w:val="en-US" w:eastAsia="zh-CN" w:bidi="ar"/>
              </w:rPr>
              <w:t>工作人员，其中裁判员不少于8名，且需具备羽毛球赛事执裁资质（提供资质证明复印件），须含1名总裁判长（负责赛事规则解读、争议裁决），副裁判长、记分员、现场工作人员等不少于10名，确保赛事各环节有序衔接</w:t>
            </w:r>
            <w:r>
              <w:rPr>
                <w:rFonts w:hint="eastAsia" w:ascii="仿宋_GB2312" w:hAnsi="仿宋_GB2312" w:eastAsia="仿宋_GB2312" w:cs="仿宋_GB2312"/>
                <w:color w:val="auto"/>
                <w:kern w:val="2"/>
                <w:sz w:val="24"/>
                <w:szCs w:val="24"/>
                <w:lang w:val="en-US" w:eastAsia="zh-CN" w:bidi="ar-SA"/>
              </w:rPr>
              <w:t>；</w:t>
            </w:r>
          </w:p>
          <w:p w14:paraId="47A6F553">
            <w:pPr>
              <w:keepNext w:val="0"/>
              <w:keepLines w:val="0"/>
              <w:widowControl/>
              <w:suppressLineNumbers w:val="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0"/>
                <w:sz w:val="24"/>
                <w:szCs w:val="24"/>
                <w:lang w:val="en-US" w:eastAsia="zh-CN" w:bidi="ar"/>
              </w:rPr>
              <w:t>赛程赛制：合理设置单项赛及团体赛，明确分组规则、晋级规则、比赛时长、弃权判定标准，提前制定赛程表并经采购人确认</w:t>
            </w:r>
            <w:r>
              <w:rPr>
                <w:rFonts w:hint="eastAsia" w:ascii="仿宋_GB2312" w:hAnsi="仿宋_GB2312" w:eastAsia="仿宋_GB2312" w:cs="仿宋_GB2312"/>
                <w:color w:val="auto"/>
                <w:kern w:val="2"/>
                <w:sz w:val="24"/>
                <w:szCs w:val="24"/>
                <w:lang w:val="en-US" w:eastAsia="zh-CN" w:bidi="ar-SA"/>
              </w:rPr>
              <w:t>；</w:t>
            </w:r>
          </w:p>
          <w:p w14:paraId="5EBA927A">
            <w:pPr>
              <w:keepNext w:val="0"/>
              <w:keepLines w:val="0"/>
              <w:widowControl/>
              <w:suppressLineNumbers w:val="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kern w:val="0"/>
                <w:sz w:val="24"/>
                <w:szCs w:val="24"/>
                <w:lang w:val="en-US" w:eastAsia="zh-CN" w:bidi="ar"/>
              </w:rPr>
              <w:t>比赛用球：</w:t>
            </w:r>
            <w:r>
              <w:rPr>
                <w:rFonts w:hint="eastAsia" w:ascii="仿宋_GB2312" w:hAnsi="仿宋_GB2312" w:eastAsia="仿宋_GB2312" w:cs="仿宋_GB2312"/>
                <w:color w:val="auto"/>
                <w:kern w:val="0"/>
                <w:sz w:val="24"/>
                <w:szCs w:val="24"/>
                <w:highlight w:val="yellow"/>
                <w:lang w:val="en-US" w:eastAsia="zh-CN" w:bidi="ar"/>
              </w:rPr>
              <w:t>提供红超76速标准羽毛球，12只/筒，数量不少于</w:t>
            </w:r>
            <w:r>
              <w:rPr>
                <w:rFonts w:hint="eastAsia" w:ascii="仿宋_GB2312" w:hAnsi="仿宋_GB2312" w:eastAsia="仿宋_GB2312" w:cs="仿宋_GB2312"/>
                <w:color w:val="C00000"/>
                <w:kern w:val="0"/>
                <w:sz w:val="24"/>
                <w:szCs w:val="24"/>
                <w:highlight w:val="yellow"/>
                <w:lang w:val="en-US" w:eastAsia="zh-CN" w:bidi="ar"/>
              </w:rPr>
              <w:t>40筒</w:t>
            </w:r>
            <w:r>
              <w:rPr>
                <w:rFonts w:hint="eastAsia" w:ascii="仿宋_GB2312" w:hAnsi="仿宋_GB2312" w:eastAsia="仿宋_GB2312" w:cs="仿宋_GB2312"/>
                <w:color w:val="auto"/>
                <w:kern w:val="0"/>
                <w:sz w:val="24"/>
                <w:szCs w:val="24"/>
                <w:highlight w:val="yellow"/>
                <w:lang w:val="en-US" w:eastAsia="zh-CN" w:bidi="ar"/>
              </w:rPr>
              <w:t>，</w:t>
            </w:r>
            <w:r>
              <w:rPr>
                <w:rFonts w:hint="eastAsia" w:ascii="仿宋_GB2312" w:hAnsi="仿宋_GB2312" w:eastAsia="仿宋_GB2312" w:cs="仿宋_GB2312"/>
                <w:color w:val="auto"/>
                <w:kern w:val="0"/>
                <w:sz w:val="24"/>
                <w:szCs w:val="24"/>
                <w:lang w:val="en-US" w:eastAsia="zh-CN" w:bidi="ar"/>
              </w:rPr>
              <w:t>确保球的质量符合比赛标准，无破损、变形，及时补充更换。</w:t>
            </w:r>
          </w:p>
        </w:tc>
      </w:tr>
      <w:tr w14:paraId="46E3A3CB">
        <w:tblPrEx>
          <w:tblCellMar>
            <w:top w:w="0" w:type="dxa"/>
            <w:left w:w="108" w:type="dxa"/>
            <w:bottom w:w="0" w:type="dxa"/>
            <w:right w:w="108" w:type="dxa"/>
          </w:tblCellMar>
        </w:tblPrEx>
        <w:trPr>
          <w:trHeight w:val="845"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64F428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434" w:type="dxa"/>
            <w:tcBorders>
              <w:top w:val="nil"/>
              <w:left w:val="nil"/>
              <w:bottom w:val="single" w:color="auto" w:sz="4" w:space="0"/>
              <w:right w:val="single" w:color="auto" w:sz="4" w:space="0"/>
            </w:tcBorders>
            <w:shd w:val="clear" w:color="auto" w:fill="auto"/>
            <w:noWrap/>
            <w:vAlign w:val="center"/>
          </w:tcPr>
          <w:p w14:paraId="642BDC7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摄影</w:t>
            </w:r>
          </w:p>
        </w:tc>
        <w:tc>
          <w:tcPr>
            <w:tcW w:w="6723" w:type="dxa"/>
            <w:tcBorders>
              <w:top w:val="nil"/>
              <w:left w:val="nil"/>
              <w:bottom w:val="single" w:color="auto" w:sz="4" w:space="0"/>
              <w:right w:val="single" w:color="auto" w:sz="4" w:space="0"/>
            </w:tcBorders>
            <w:shd w:val="clear" w:color="auto" w:fill="auto"/>
            <w:vAlign w:val="center"/>
          </w:tcPr>
          <w:p w14:paraId="006969B2">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（1）配备专业摄影摄像团队（至少1名摄影师、1名摄像师），具备体育赛事拍摄经验；</w:t>
            </w:r>
          </w:p>
          <w:p w14:paraId="7A07B950">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kern w:val="0"/>
                <w:sz w:val="24"/>
                <w:szCs w:val="24"/>
                <w:lang w:val="en-US" w:eastAsia="zh-CN" w:bidi="ar"/>
              </w:rPr>
              <w:t>全程记录赛事过程，涵盖开幕式、各场次比赛、颁奖仪式等关键环节，确保画面清晰、角度全面；</w:t>
            </w:r>
          </w:p>
          <w:p w14:paraId="585B0096">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0"/>
                <w:sz w:val="24"/>
                <w:szCs w:val="24"/>
                <w:lang w:val="en-US" w:eastAsia="zh-CN" w:bidi="ar"/>
              </w:rPr>
              <w:t>开通图片直播服务，比赛期间实时上传现场照片，确保照片数量充足、质量达标，方便参赛人员及相关人员下载；</w:t>
            </w:r>
          </w:p>
          <w:p w14:paraId="011D60FD">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kern w:val="0"/>
                <w:sz w:val="24"/>
                <w:szCs w:val="24"/>
                <w:lang w:val="en-US" w:eastAsia="zh-CN" w:bidi="ar"/>
              </w:rPr>
              <w:t>赛事结束后3个工作日内，</w:t>
            </w:r>
            <w:r>
              <w:rPr>
                <w:rFonts w:hint="eastAsia" w:ascii="仿宋_GB2312" w:hAnsi="仿宋_GB2312" w:eastAsia="仿宋_GB2312" w:cs="仿宋_GB2312"/>
                <w:color w:val="auto"/>
                <w:kern w:val="0"/>
                <w:sz w:val="24"/>
                <w:szCs w:val="24"/>
                <w:highlight w:val="yellow"/>
                <w:lang w:val="en-US" w:eastAsia="zh-CN" w:bidi="ar"/>
              </w:rPr>
              <w:t>提供3—5分钟的赛事宣传短视频（含剪辑、配乐）</w:t>
            </w:r>
            <w:r>
              <w:rPr>
                <w:rFonts w:hint="eastAsia" w:ascii="仿宋_GB2312" w:hAnsi="仿宋_GB2312" w:eastAsia="仿宋_GB2312" w:cs="仿宋_GB2312"/>
                <w:color w:val="auto"/>
                <w:kern w:val="0"/>
                <w:sz w:val="24"/>
                <w:szCs w:val="24"/>
                <w:lang w:val="en-US" w:eastAsia="zh-CN" w:bidi="ar"/>
              </w:rPr>
              <w:t>，同时提供所有原始拍摄素材及筛选后的高清照片，交付采购人。</w:t>
            </w:r>
          </w:p>
        </w:tc>
      </w:tr>
      <w:tr w14:paraId="4059ACB9">
        <w:tblPrEx>
          <w:tblCellMar>
            <w:top w:w="0" w:type="dxa"/>
            <w:left w:w="108" w:type="dxa"/>
            <w:bottom w:w="0" w:type="dxa"/>
            <w:right w:w="108" w:type="dxa"/>
          </w:tblCellMar>
        </w:tblPrEx>
        <w:trPr>
          <w:trHeight w:val="845"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0636FB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1434" w:type="dxa"/>
            <w:tcBorders>
              <w:top w:val="nil"/>
              <w:left w:val="nil"/>
              <w:bottom w:val="single" w:color="auto" w:sz="4" w:space="0"/>
              <w:right w:val="single" w:color="auto" w:sz="4" w:space="0"/>
            </w:tcBorders>
            <w:shd w:val="clear" w:color="auto" w:fill="auto"/>
            <w:noWrap/>
            <w:vAlign w:val="center"/>
          </w:tcPr>
          <w:p w14:paraId="4C2D017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能量补给</w:t>
            </w:r>
          </w:p>
        </w:tc>
        <w:tc>
          <w:tcPr>
            <w:tcW w:w="6723" w:type="dxa"/>
            <w:tcBorders>
              <w:top w:val="nil"/>
              <w:left w:val="nil"/>
              <w:bottom w:val="single" w:color="auto" w:sz="4" w:space="0"/>
              <w:right w:val="single" w:color="auto" w:sz="4" w:space="0"/>
            </w:tcBorders>
            <w:shd w:val="clear" w:color="auto" w:fill="auto"/>
            <w:vAlign w:val="center"/>
          </w:tcPr>
          <w:p w14:paraId="3CF45141">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（1）饮用水：为每位参赛人员、工作人员提供不少于700ml/人的饮用水（不少于40箱）；</w:t>
            </w:r>
          </w:p>
          <w:p w14:paraId="652E9008">
            <w:pPr>
              <w:keepNext w:val="0"/>
              <w:keepLines w:val="0"/>
              <w:widowControl/>
              <w:numPr>
                <w:ilvl w:val="0"/>
                <w:numId w:val="0"/>
              </w:numPr>
              <w:suppressLineNumbers w:val="0"/>
              <w:jc w:val="left"/>
              <w:rPr>
                <w:rFonts w:hint="eastAsia"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bidi="ar-SA"/>
              </w:rPr>
              <w:t>（2）</w:t>
            </w:r>
            <w:r>
              <w:rPr>
                <w:rFonts w:hint="eastAsia" w:ascii="仿宋_GB2312" w:hAnsi="仿宋_GB2312" w:eastAsia="仿宋_GB2312" w:cs="仿宋_GB2312"/>
                <w:color w:val="auto"/>
                <w:kern w:val="0"/>
                <w:sz w:val="24"/>
                <w:szCs w:val="24"/>
                <w:lang w:val="en-US" w:eastAsia="zh-CN" w:bidi="ar"/>
              </w:rPr>
              <w:t>能量补给：配备香蕉、饼干等补给品，根据参赛人数合理预估用量，确保补给充足、及时。</w:t>
            </w:r>
          </w:p>
        </w:tc>
      </w:tr>
      <w:tr w14:paraId="268F4A3C">
        <w:tblPrEx>
          <w:tblCellMar>
            <w:top w:w="0" w:type="dxa"/>
            <w:left w:w="108" w:type="dxa"/>
            <w:bottom w:w="0" w:type="dxa"/>
            <w:right w:w="108" w:type="dxa"/>
          </w:tblCellMar>
        </w:tblPrEx>
        <w:trPr>
          <w:trHeight w:val="845"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5E263EB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5</w:t>
            </w:r>
          </w:p>
        </w:tc>
        <w:tc>
          <w:tcPr>
            <w:tcW w:w="1434" w:type="dxa"/>
            <w:tcBorders>
              <w:top w:val="nil"/>
              <w:left w:val="nil"/>
              <w:bottom w:val="single" w:color="auto" w:sz="4" w:space="0"/>
              <w:right w:val="single" w:color="auto" w:sz="4" w:space="0"/>
            </w:tcBorders>
            <w:shd w:val="clear" w:color="auto" w:fill="auto"/>
            <w:noWrap/>
            <w:vAlign w:val="center"/>
          </w:tcPr>
          <w:p w14:paraId="5FA5556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活动组织</w:t>
            </w:r>
          </w:p>
        </w:tc>
        <w:tc>
          <w:tcPr>
            <w:tcW w:w="6723" w:type="dxa"/>
            <w:tcBorders>
              <w:top w:val="nil"/>
              <w:left w:val="nil"/>
              <w:bottom w:val="single" w:color="auto" w:sz="4" w:space="0"/>
              <w:right w:val="single" w:color="auto" w:sz="4" w:space="0"/>
            </w:tcBorders>
            <w:shd w:val="clear" w:color="auto" w:fill="auto"/>
            <w:vAlign w:val="center"/>
          </w:tcPr>
          <w:p w14:paraId="687DF203">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（1）报名收集：负责报名信息的收集、整理、核对，及时向采购人同步报名进度；</w:t>
            </w:r>
          </w:p>
          <w:p w14:paraId="79FE8A84">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kern w:val="0"/>
                <w:sz w:val="24"/>
                <w:szCs w:val="24"/>
                <w:lang w:val="en-US" w:eastAsia="zh-CN" w:bidi="ar"/>
              </w:rPr>
              <w:t>赛程编排：根据报名人数及赛制，科学编排赛程，提前3个工作日将赛程表、参赛须知（含比赛时间、地点、注意事项、规则）通知到每一位参赛人员；</w:t>
            </w:r>
          </w:p>
          <w:p w14:paraId="75326CE2">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0"/>
                <w:sz w:val="24"/>
                <w:szCs w:val="24"/>
                <w:lang w:val="en-US" w:eastAsia="zh-CN" w:bidi="ar"/>
              </w:rPr>
              <w:t>人员分工：明确所有工作人员的岗位职责、工作时间及工作要求，确保工作人员熟悉流程、规范操作；</w:t>
            </w:r>
          </w:p>
          <w:p w14:paraId="4F8D4A5B">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kern w:val="0"/>
                <w:sz w:val="24"/>
                <w:szCs w:val="24"/>
                <w:lang w:val="en-US" w:eastAsia="zh-CN" w:bidi="ar"/>
              </w:rPr>
              <w:t>现场组织：负责参赛人员签到、分组引导、秩序维护，解答参赛人员咨询，协调处理参赛人员的合理诉求，确保活动全程有序、高效推进。</w:t>
            </w:r>
          </w:p>
        </w:tc>
      </w:tr>
      <w:tr w14:paraId="50A2B68D">
        <w:tblPrEx>
          <w:tblCellMar>
            <w:top w:w="0" w:type="dxa"/>
            <w:left w:w="108" w:type="dxa"/>
            <w:bottom w:w="0" w:type="dxa"/>
            <w:right w:w="108" w:type="dxa"/>
          </w:tblCellMar>
        </w:tblPrEx>
        <w:trPr>
          <w:trHeight w:val="47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B63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E486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数据分析</w:t>
            </w:r>
          </w:p>
        </w:tc>
        <w:tc>
          <w:tcPr>
            <w:tcW w:w="6723" w:type="dxa"/>
            <w:tcBorders>
              <w:top w:val="single" w:color="auto" w:sz="4" w:space="0"/>
              <w:left w:val="single" w:color="auto" w:sz="4" w:space="0"/>
              <w:bottom w:val="single" w:color="auto" w:sz="4" w:space="0"/>
              <w:right w:val="single" w:color="auto" w:sz="4" w:space="0"/>
            </w:tcBorders>
            <w:shd w:val="clear" w:color="auto" w:fill="auto"/>
            <w:vAlign w:val="center"/>
          </w:tcPr>
          <w:p w14:paraId="76C08B8E">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（1）安排专人负责赛事成绩实时记录，确保每一场比赛的比分、胜负结果准确无误，无漏记、错记；</w:t>
            </w:r>
          </w:p>
          <w:p w14:paraId="549D1021">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kern w:val="0"/>
                <w:sz w:val="24"/>
                <w:szCs w:val="24"/>
                <w:lang w:val="en-US" w:eastAsia="zh-CN" w:bidi="ar"/>
              </w:rPr>
              <w:t>赛事结束后1个工作日内，整理所有参赛队伍、参赛人员的成绩，形成完整的成绩排行榜（单项赛、团体赛分别排序）；</w:t>
            </w:r>
          </w:p>
          <w:p w14:paraId="22996B10">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kern w:val="0"/>
                <w:sz w:val="24"/>
                <w:szCs w:val="24"/>
                <w:lang w:val="en-US" w:eastAsia="zh-CN" w:bidi="ar"/>
              </w:rPr>
              <w:t>提供详细的赛事数据分析报告，成绩及分析报告需交付采购人。</w:t>
            </w:r>
          </w:p>
        </w:tc>
      </w:tr>
      <w:tr w14:paraId="5E53D605">
        <w:tblPrEx>
          <w:tblCellMar>
            <w:top w:w="0" w:type="dxa"/>
            <w:left w:w="108" w:type="dxa"/>
            <w:bottom w:w="0" w:type="dxa"/>
            <w:right w:w="108" w:type="dxa"/>
          </w:tblCellMar>
        </w:tblPrEx>
        <w:trPr>
          <w:trHeight w:val="92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B92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7425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奖项</w:t>
            </w:r>
          </w:p>
        </w:tc>
        <w:tc>
          <w:tcPr>
            <w:tcW w:w="6723" w:type="dxa"/>
            <w:tcBorders>
              <w:top w:val="single" w:color="auto" w:sz="4" w:space="0"/>
              <w:left w:val="single" w:color="auto" w:sz="4" w:space="0"/>
              <w:bottom w:val="single" w:color="auto" w:sz="4" w:space="0"/>
              <w:right w:val="single" w:color="auto" w:sz="4" w:space="0"/>
            </w:tcBorders>
            <w:shd w:val="clear" w:color="auto" w:fill="auto"/>
            <w:vAlign w:val="center"/>
          </w:tcPr>
          <w:p w14:paraId="0E3EDD8D">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（1）结合赛事规模，合理规划奖项和奖品设置，至少包含单项赛各项目冠亚季军、团体赛冠亚季军，需符合赛事规格和工会经费要求；根据采购方实际需求及比赛实际结果采购；</w:t>
            </w:r>
          </w:p>
          <w:p w14:paraId="38F904CE">
            <w:pPr>
              <w:keepNext w:val="0"/>
              <w:keepLines w:val="0"/>
              <w:widowControl/>
              <w:numPr>
                <w:ilvl w:val="0"/>
                <w:numId w:val="0"/>
              </w:numPr>
              <w:suppressLineNumbers w:val="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kern w:val="0"/>
                <w:sz w:val="24"/>
                <w:szCs w:val="24"/>
                <w:lang w:val="en-US" w:eastAsia="zh-CN" w:bidi="ar"/>
              </w:rPr>
              <w:t>提前设计奖牌、荣誉证书样式，经采购人确认后制作，颁奖仪式流程需提前规划，配合采购人完成颁奖环节。</w:t>
            </w:r>
          </w:p>
        </w:tc>
      </w:tr>
      <w:tr w14:paraId="51F9631B">
        <w:tblPrEx>
          <w:tblCellMar>
            <w:top w:w="0" w:type="dxa"/>
            <w:left w:w="108" w:type="dxa"/>
            <w:bottom w:w="0" w:type="dxa"/>
            <w:right w:w="108" w:type="dxa"/>
          </w:tblCellMar>
        </w:tblPrEx>
        <w:trPr>
          <w:trHeight w:val="92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D2C1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8</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5888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物料设计</w:t>
            </w:r>
          </w:p>
        </w:tc>
        <w:tc>
          <w:tcPr>
            <w:tcW w:w="6723" w:type="dxa"/>
            <w:tcBorders>
              <w:top w:val="single" w:color="auto" w:sz="4" w:space="0"/>
              <w:left w:val="single" w:color="auto" w:sz="4" w:space="0"/>
              <w:bottom w:val="single" w:color="auto" w:sz="4" w:space="0"/>
              <w:right w:val="single" w:color="auto" w:sz="4" w:space="0"/>
            </w:tcBorders>
            <w:shd w:val="clear" w:color="auto" w:fill="auto"/>
            <w:vAlign w:val="center"/>
          </w:tcPr>
          <w:p w14:paraId="2CD752F4">
            <w:pPr>
              <w:keepNext w:val="0"/>
              <w:keepLines w:val="0"/>
              <w:widowControl/>
              <w:numPr>
                <w:ilvl w:val="0"/>
                <w:numId w:val="5"/>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负责本次羽毛球比赛全部物料的整体设计、制作及安装；</w:t>
            </w:r>
          </w:p>
          <w:p w14:paraId="4A8044DB">
            <w:pPr>
              <w:keepNext w:val="0"/>
              <w:keepLines w:val="0"/>
              <w:widowControl/>
              <w:numPr>
                <w:ilvl w:val="0"/>
                <w:numId w:val="5"/>
              </w:numPr>
              <w:suppressLineNumbers w:val="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物料设计需符合采购人的品牌调性及赛事主题，设计方案需经采购人审核确认，供应商需配合修改完善；</w:t>
            </w:r>
          </w:p>
          <w:p w14:paraId="04D21B8C">
            <w:pPr>
              <w:keepNext w:val="0"/>
              <w:keepLines w:val="0"/>
              <w:widowControl/>
              <w:numPr>
                <w:ilvl w:val="0"/>
                <w:numId w:val="5"/>
              </w:numPr>
              <w:suppressLineNumbers w:val="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活动开始前3小时完成所有物料的现场布置、调试，确保布置规范、美观，符合赛事需求，活动结束后负责物料的拆除、清理工作，恢复场地原貌。</w:t>
            </w:r>
          </w:p>
        </w:tc>
      </w:tr>
      <w:tr w14:paraId="61A48B23">
        <w:tblPrEx>
          <w:tblCellMar>
            <w:top w:w="0" w:type="dxa"/>
            <w:left w:w="108" w:type="dxa"/>
            <w:bottom w:w="0" w:type="dxa"/>
            <w:right w:w="108" w:type="dxa"/>
          </w:tblCellMar>
        </w:tblPrEx>
        <w:trPr>
          <w:trHeight w:val="92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0C7E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DFA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投标响应</w:t>
            </w:r>
          </w:p>
          <w:p w14:paraId="232505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要求</w:t>
            </w:r>
          </w:p>
        </w:tc>
        <w:tc>
          <w:tcPr>
            <w:tcW w:w="6723" w:type="dxa"/>
            <w:tcBorders>
              <w:top w:val="single" w:color="auto" w:sz="4" w:space="0"/>
              <w:left w:val="single" w:color="auto" w:sz="4" w:space="0"/>
              <w:bottom w:val="single" w:color="auto" w:sz="4" w:space="0"/>
              <w:right w:val="single" w:color="auto" w:sz="4" w:space="0"/>
            </w:tcBorders>
            <w:shd w:val="clear" w:color="auto" w:fill="auto"/>
            <w:vAlign w:val="center"/>
          </w:tcPr>
          <w:p w14:paraId="6172FE21">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（1）供应商需在投标文件中提交书面响应承诺函，明确承诺完全响应本招标文件中的服务内容、具体工作及相关要求；</w:t>
            </w:r>
          </w:p>
          <w:p w14:paraId="4F56B140">
            <w:pPr>
              <w:keepNext w:val="0"/>
              <w:keepLines w:val="0"/>
              <w:widowControl/>
              <w:numPr>
                <w:ilvl w:val="0"/>
                <w:numId w:val="0"/>
              </w:numPr>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（2）供应商需承诺，若中标，将严格按照招标文件要求及合同条款履行服务职责，若出现未按约定执行的情况，承担相应违约责任。</w:t>
            </w:r>
          </w:p>
        </w:tc>
      </w:tr>
    </w:tbl>
    <w:p w14:paraId="21230C9A">
      <w:pPr>
        <w:numPr>
          <w:ilvl w:val="0"/>
          <w:numId w:val="0"/>
        </w:numPr>
        <w:ind w:left="453" w:leftChars="215" w:hanging="2" w:hangingChars="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商务要求：</w:t>
      </w:r>
    </w:p>
    <w:p w14:paraId="58A72CB6">
      <w:pPr>
        <w:numPr>
          <w:ilvl w:val="0"/>
          <w:numId w:val="0"/>
        </w:numPr>
        <w:ind w:left="425" w:leftChars="0" w:hanging="425" w:firstLine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拟定2026年6月13日—6月14日8:00-17:00（具体服务日期以采购人最终书面确认时间为准，供应商需无条件配合日期调整，不得额外收取任何费用，且不得因日期调整影响服务质量）。</w:t>
      </w:r>
    </w:p>
    <w:p w14:paraId="206B3360">
      <w:pPr>
        <w:numPr>
          <w:ilvl w:val="0"/>
          <w:numId w:val="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val="en-US" w:eastAsia="zh-CN"/>
        </w:rPr>
        <w:t>深圳市南山区（具体待定）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项目完成，验收合格并经采购人书面确认后，供应商开具合法等额发票，经采购人财务审核通过后，采购人在收到供应商发票后10个工作日内一次性支付供应商结算款项</w:t>
      </w:r>
      <w:r>
        <w:rPr>
          <w:rFonts w:hint="eastAsia" w:ascii="仿宋_GB2312" w:hAnsi="仿宋_GB2312" w:eastAsia="仿宋_GB2312" w:cs="仿宋_GB2312"/>
          <w:sz w:val="28"/>
          <w:szCs w:val="28"/>
        </w:rPr>
        <w:t>。</w:t>
      </w:r>
    </w:p>
    <w:p w14:paraId="1F4F3423">
      <w:pPr>
        <w:numPr>
          <w:ilvl w:val="0"/>
          <w:numId w:val="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供应商负责所有活动物资的包装、运输、装卸，确保物资完好无损、按时送达；所有活动物资需在比赛开始前3小时全部布置完成。</w:t>
      </w:r>
    </w:p>
    <w:p w14:paraId="3C8FE1CE">
      <w:pPr>
        <w:numPr>
          <w:ilvl w:val="0"/>
          <w:numId w:val="0"/>
        </w:numPr>
        <w:ind w:left="425" w:leftChars="0" w:hanging="425" w:firstLineChars="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lang w:val="en-US" w:eastAsia="zh-CN"/>
        </w:rPr>
        <w:t>①活动后清理及还原现场；②供应商依据采购人要求完成南山区卫生健康系统2026年“健康杯”羽毛球比赛项目执行后的活动小结及其他资料，含纸质及电子文档；③对采购人提出的资料修改、补充等相关要求，需在采购人指定合理时间内完成，不得拖延、推诿，逾期未完成的，采购人有权追究相关责任。</w:t>
      </w:r>
    </w:p>
    <w:p w14:paraId="76D6736D">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rPr>
        <w:t>保险：</w:t>
      </w:r>
      <w:r>
        <w:rPr>
          <w:rFonts w:hint="eastAsia" w:ascii="仿宋_GB2312" w:hAnsi="仿宋_GB2312" w:eastAsia="仿宋_GB2312" w:cs="仿宋_GB2312"/>
          <w:sz w:val="28"/>
          <w:szCs w:val="28"/>
          <w:u w:val="single"/>
        </w:rPr>
        <w:t>供应商需为本次赛事所有参赛运动员购买意外险</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相关投保费用包含在投标报价内</w:t>
      </w:r>
      <w:r>
        <w:rPr>
          <w:rFonts w:hint="eastAsia" w:ascii="仿宋_GB2312" w:hAnsi="仿宋_GB2312" w:eastAsia="仿宋_GB2312" w:cs="仿宋_GB2312"/>
          <w:sz w:val="28"/>
          <w:szCs w:val="28"/>
          <w:u w:val="single"/>
        </w:rPr>
        <w:t>。</w:t>
      </w:r>
    </w:p>
    <w:p w14:paraId="2B9A6E0F">
      <w:pPr>
        <w:pStyle w:val="5"/>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（7）投标报价：</w:t>
      </w:r>
      <w:r>
        <w:rPr>
          <w:rFonts w:hint="eastAsia" w:ascii="仿宋_GB2312" w:hAnsi="仿宋_GB2312" w:eastAsia="仿宋_GB2312" w:cs="仿宋_GB2312"/>
          <w:kern w:val="2"/>
          <w:sz w:val="28"/>
          <w:szCs w:val="28"/>
          <w:u w:val="single"/>
          <w:lang w:val="en-US" w:eastAsia="zh-CN" w:bidi="ar-SA"/>
        </w:rPr>
        <w:t>投标人的投标报价为固定总价，应包含完成本项目需求书所述全部工作内容、达到所有服务及质量要求的一切费用，包括但不限于人员薪酬、物料设计制作及运输、场地布置、保险、售后、税费等所有相关费用，采购人不再额外支付任何费用。</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2151D91C">
      <w:pPr>
        <w:adjustRightInd w:val="0"/>
        <w:snapToGrid w:val="0"/>
        <w:jc w:val="left"/>
        <w:rPr>
          <w:rFonts w:hint="eastAsia" w:ascii="仿宋" w:hAnsi="仿宋" w:eastAsia="仿宋"/>
          <w:sz w:val="28"/>
          <w:szCs w:val="28"/>
        </w:rPr>
      </w:pPr>
    </w:p>
    <w:p w14:paraId="00977F12">
      <w:pPr>
        <w:adjustRightInd w:val="0"/>
        <w:snapToGrid w:val="0"/>
        <w:jc w:val="left"/>
        <w:rPr>
          <w:rFonts w:hint="eastAsia" w:ascii="仿宋" w:hAnsi="仿宋" w:eastAsia="仿宋"/>
          <w:sz w:val="28"/>
          <w:szCs w:val="28"/>
        </w:rPr>
      </w:pPr>
    </w:p>
    <w:p w14:paraId="1FF4D136">
      <w:pPr>
        <w:adjustRightInd w:val="0"/>
        <w:snapToGrid w:val="0"/>
        <w:jc w:val="left"/>
        <w:rPr>
          <w:rFonts w:hint="eastAsia" w:ascii="仿宋" w:hAnsi="仿宋" w:eastAsia="仿宋"/>
          <w:sz w:val="28"/>
          <w:szCs w:val="28"/>
        </w:rPr>
      </w:pPr>
    </w:p>
    <w:p w14:paraId="399DAE36">
      <w:pPr>
        <w:adjustRightInd w:val="0"/>
        <w:snapToGrid w:val="0"/>
        <w:jc w:val="left"/>
        <w:rPr>
          <w:rFonts w:hint="eastAsia" w:ascii="仿宋" w:hAnsi="仿宋" w:eastAsia="仿宋"/>
          <w:sz w:val="28"/>
          <w:szCs w:val="28"/>
        </w:rPr>
      </w:pPr>
    </w:p>
    <w:p w14:paraId="6CCD6473">
      <w:pPr>
        <w:adjustRightInd w:val="0"/>
        <w:snapToGrid w:val="0"/>
        <w:jc w:val="left"/>
        <w:rPr>
          <w:rFonts w:hint="eastAsia" w:ascii="仿宋" w:hAnsi="仿宋" w:eastAsia="仿宋"/>
          <w:sz w:val="28"/>
          <w:szCs w:val="28"/>
        </w:rPr>
      </w:pPr>
    </w:p>
    <w:p w14:paraId="06B9B5B7">
      <w:pPr>
        <w:adjustRightInd w:val="0"/>
        <w:snapToGrid w:val="0"/>
        <w:jc w:val="left"/>
        <w:rPr>
          <w:rFonts w:hint="eastAsia" w:ascii="仿宋" w:hAnsi="仿宋" w:eastAsia="仿宋"/>
          <w:sz w:val="28"/>
          <w:szCs w:val="28"/>
        </w:rPr>
      </w:pPr>
    </w:p>
    <w:p w14:paraId="53F1AB61">
      <w:pPr>
        <w:adjustRightInd w:val="0"/>
        <w:snapToGrid w:val="0"/>
        <w:jc w:val="left"/>
        <w:rPr>
          <w:rFonts w:hint="eastAsia" w:ascii="仿宋" w:hAnsi="仿宋" w:eastAsia="仿宋"/>
          <w:sz w:val="28"/>
          <w:szCs w:val="28"/>
        </w:rPr>
      </w:pPr>
    </w:p>
    <w:p w14:paraId="4FEE0D8B">
      <w:pPr>
        <w:adjustRightInd w:val="0"/>
        <w:snapToGrid w:val="0"/>
        <w:jc w:val="left"/>
        <w:rPr>
          <w:rFonts w:hint="eastAsia" w:ascii="仿宋" w:hAnsi="仿宋" w:eastAsia="仿宋"/>
          <w:sz w:val="28"/>
          <w:szCs w:val="28"/>
        </w:rPr>
      </w:pPr>
    </w:p>
    <w:p w14:paraId="1615CECC">
      <w:pPr>
        <w:adjustRightInd w:val="0"/>
        <w:snapToGrid w:val="0"/>
        <w:jc w:val="left"/>
        <w:rPr>
          <w:rFonts w:hint="eastAsia" w:ascii="仿宋" w:hAnsi="仿宋" w:eastAsia="仿宋"/>
          <w:sz w:val="28"/>
          <w:szCs w:val="28"/>
        </w:rPr>
      </w:pPr>
    </w:p>
    <w:p w14:paraId="72FE3994">
      <w:pPr>
        <w:adjustRightInd w:val="0"/>
        <w:snapToGrid w:val="0"/>
        <w:jc w:val="left"/>
        <w:rPr>
          <w:rFonts w:hint="eastAsia" w:ascii="仿宋" w:hAnsi="仿宋" w:eastAsia="仿宋"/>
          <w:sz w:val="28"/>
          <w:szCs w:val="28"/>
        </w:rPr>
      </w:pPr>
    </w:p>
    <w:p w14:paraId="001BD127">
      <w:pPr>
        <w:adjustRightInd w:val="0"/>
        <w:snapToGrid w:val="0"/>
        <w:jc w:val="left"/>
        <w:rPr>
          <w:rFonts w:hint="eastAsia" w:ascii="仿宋" w:hAnsi="仿宋" w:eastAsia="仿宋"/>
          <w:sz w:val="28"/>
          <w:szCs w:val="28"/>
        </w:rPr>
      </w:pPr>
    </w:p>
    <w:p w14:paraId="1BF584B7">
      <w:pPr>
        <w:adjustRightInd w:val="0"/>
        <w:snapToGrid w:val="0"/>
        <w:jc w:val="left"/>
        <w:rPr>
          <w:rFonts w:hint="eastAsia" w:ascii="仿宋" w:hAnsi="仿宋" w:eastAsia="仿宋"/>
          <w:sz w:val="28"/>
          <w:szCs w:val="28"/>
        </w:rPr>
      </w:pPr>
    </w:p>
    <w:p w14:paraId="118D1C3E">
      <w:pPr>
        <w:adjustRightInd w:val="0"/>
        <w:snapToGrid w:val="0"/>
        <w:jc w:val="left"/>
        <w:rPr>
          <w:rFonts w:hint="eastAsia" w:ascii="仿宋" w:hAnsi="仿宋" w:eastAsia="仿宋"/>
          <w:sz w:val="28"/>
          <w:szCs w:val="28"/>
        </w:rPr>
      </w:pPr>
    </w:p>
    <w:p w14:paraId="1DE33D3A">
      <w:pPr>
        <w:adjustRightInd w:val="0"/>
        <w:snapToGrid w:val="0"/>
        <w:jc w:val="left"/>
        <w:rPr>
          <w:rFonts w:hint="eastAsia" w:ascii="仿宋" w:hAnsi="仿宋" w:eastAsia="仿宋"/>
          <w:sz w:val="28"/>
          <w:szCs w:val="28"/>
        </w:rPr>
      </w:pPr>
    </w:p>
    <w:p w14:paraId="07EFDB91">
      <w:pPr>
        <w:adjustRightInd w:val="0"/>
        <w:snapToGrid w:val="0"/>
        <w:jc w:val="left"/>
        <w:rPr>
          <w:rFonts w:hint="eastAsia" w:ascii="仿宋" w:hAnsi="仿宋" w:eastAsia="仿宋"/>
          <w:sz w:val="28"/>
          <w:szCs w:val="28"/>
        </w:rPr>
      </w:pPr>
    </w:p>
    <w:p w14:paraId="460CE31D">
      <w:pPr>
        <w:adjustRightInd w:val="0"/>
        <w:snapToGrid w:val="0"/>
        <w:jc w:val="left"/>
        <w:rPr>
          <w:rFonts w:hint="eastAsia" w:ascii="仿宋" w:hAnsi="仿宋" w:eastAsia="仿宋"/>
          <w:sz w:val="28"/>
          <w:szCs w:val="28"/>
        </w:rPr>
      </w:pPr>
    </w:p>
    <w:p w14:paraId="6B619499">
      <w:pPr>
        <w:adjustRightInd w:val="0"/>
        <w:snapToGrid w:val="0"/>
        <w:jc w:val="left"/>
        <w:rPr>
          <w:rFonts w:hint="eastAsia" w:ascii="仿宋" w:hAnsi="仿宋" w:eastAsia="仿宋"/>
          <w:sz w:val="28"/>
          <w:szCs w:val="28"/>
        </w:rPr>
      </w:pPr>
    </w:p>
    <w:p w14:paraId="211D8F17">
      <w:pPr>
        <w:adjustRightInd w:val="0"/>
        <w:snapToGrid w:val="0"/>
        <w:jc w:val="left"/>
        <w:rPr>
          <w:rFonts w:hint="eastAsia" w:ascii="仿宋" w:hAnsi="仿宋" w:eastAsia="仿宋"/>
          <w:sz w:val="28"/>
          <w:szCs w:val="28"/>
        </w:rPr>
      </w:pPr>
    </w:p>
    <w:p w14:paraId="0A04E3FF">
      <w:pPr>
        <w:rPr>
          <w:rFonts w:hint="eastAsia"/>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8A6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9944">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89944">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7D6C3"/>
    <w:multiLevelType w:val="singleLevel"/>
    <w:tmpl w:val="BEA7D6C3"/>
    <w:lvl w:ilvl="0" w:tentative="0">
      <w:start w:val="1"/>
      <w:numFmt w:val="decimal"/>
      <w:suff w:val="nothing"/>
      <w:lvlText w:val="（%1）"/>
      <w:lvlJc w:val="left"/>
    </w:lvl>
  </w:abstractNum>
  <w:abstractNum w:abstractNumId="1">
    <w:nsid w:val="EAF50B95"/>
    <w:multiLevelType w:val="singleLevel"/>
    <w:tmpl w:val="EAF50B95"/>
    <w:lvl w:ilvl="0" w:tentative="0">
      <w:start w:val="1"/>
      <w:numFmt w:val="decimal"/>
      <w:suff w:val="nothing"/>
      <w:lvlText w:val="（%1）"/>
      <w:lvlJc w:val="left"/>
    </w:lvl>
  </w:abstractNum>
  <w:abstractNum w:abstractNumId="2">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4D2419"/>
    <w:multiLevelType w:val="singleLevel"/>
    <w:tmpl w:val="4F4D2419"/>
    <w:lvl w:ilvl="0" w:tentative="0">
      <w:start w:val="1"/>
      <w:numFmt w:val="decimal"/>
      <w:lvlText w:val="(%1)"/>
      <w:lvlJc w:val="left"/>
      <w:pPr>
        <w:ind w:left="425" w:hanging="425"/>
      </w:pPr>
      <w:rPr>
        <w:rFonts w:hint="default"/>
      </w:rPr>
    </w:lvl>
  </w:abstractNum>
  <w:abstractNum w:abstractNumId="4">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10B2247"/>
    <w:rsid w:val="02402C2C"/>
    <w:rsid w:val="0B2B376D"/>
    <w:rsid w:val="0C6A7D1D"/>
    <w:rsid w:val="0CAA3333"/>
    <w:rsid w:val="0D532C76"/>
    <w:rsid w:val="169D3D23"/>
    <w:rsid w:val="1C4A5F2B"/>
    <w:rsid w:val="20423891"/>
    <w:rsid w:val="268A3AF4"/>
    <w:rsid w:val="26A526DC"/>
    <w:rsid w:val="2B033E75"/>
    <w:rsid w:val="2CBA4A07"/>
    <w:rsid w:val="2E3305CD"/>
    <w:rsid w:val="312A0667"/>
    <w:rsid w:val="31BC3D81"/>
    <w:rsid w:val="343F6D05"/>
    <w:rsid w:val="345D1B1D"/>
    <w:rsid w:val="34662404"/>
    <w:rsid w:val="34B23049"/>
    <w:rsid w:val="36744066"/>
    <w:rsid w:val="386B2CF7"/>
    <w:rsid w:val="3BE455FD"/>
    <w:rsid w:val="3F640B0B"/>
    <w:rsid w:val="3F786788"/>
    <w:rsid w:val="418F2299"/>
    <w:rsid w:val="424D7F48"/>
    <w:rsid w:val="47946129"/>
    <w:rsid w:val="4C4243A5"/>
    <w:rsid w:val="4F624D5E"/>
    <w:rsid w:val="539D45B7"/>
    <w:rsid w:val="59266DFD"/>
    <w:rsid w:val="5C735A97"/>
    <w:rsid w:val="642267A8"/>
    <w:rsid w:val="6C70102E"/>
    <w:rsid w:val="6D282CEC"/>
    <w:rsid w:val="6E0472B5"/>
    <w:rsid w:val="6F655CEB"/>
    <w:rsid w:val="74974D88"/>
    <w:rsid w:val="74B1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sz w:val="18"/>
      <w:szCs w:val="18"/>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widowControl w:val="0"/>
      <w:spacing w:after="120" w:afterLines="0" w:line="240" w:lineRule="auto"/>
      <w:ind w:left="200" w:leftChars="200"/>
      <w:textAlignment w:val="auto"/>
    </w:pPr>
    <w:rPr>
      <w:color w:val="auto"/>
      <w:kern w:val="2"/>
      <w:szCs w:val="24"/>
    </w:rPr>
  </w:style>
  <w:style w:type="paragraph" w:styleId="7">
    <w:name w:val="envelope return"/>
    <w:basedOn w:val="1"/>
    <w:next w:val="4"/>
    <w:qFormat/>
    <w:uiPriority w:val="0"/>
    <w:pPr>
      <w:snapToGrid w:val="0"/>
    </w:pPr>
    <w:rPr>
      <w:rFonts w:ascii="Arial" w:hAnsi="Arial"/>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tabs>
        <w:tab w:val="center" w:pos="4153"/>
        <w:tab w:val="right" w:pos="8306"/>
      </w:tabs>
      <w:snapToGrid w:val="0"/>
      <w:jc w:val="center"/>
    </w:pPr>
    <w:rPr>
      <w:sz w:val="18"/>
      <w:szCs w:val="18"/>
    </w:rPr>
  </w:style>
  <w:style w:type="paragraph" w:styleId="10">
    <w:name w:val="Body Text First Indent 2"/>
    <w:basedOn w:val="6"/>
    <w:next w:val="1"/>
    <w:qFormat/>
    <w:uiPriority w:val="0"/>
    <w:pPr>
      <w:spacing w:line="360" w:lineRule="auto"/>
      <w:ind w:firstLine="200" w:firstLineChars="200"/>
    </w:pPr>
    <w:rPr>
      <w:rFonts w:ascii="宋体" w:eastAsia="宋体"/>
      <w:sz w:val="21"/>
      <w:szCs w:val="20"/>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styleId="17">
    <w:name w:val="List Paragraph"/>
    <w:basedOn w:val="1"/>
    <w:qFormat/>
    <w:uiPriority w:val="34"/>
    <w:pPr>
      <w:ind w:left="704" w:hanging="420"/>
    </w:pPr>
    <w:rPr>
      <w:rFonts w:ascii="Times New Roman" w:hAnsi="Times New Roman" w:eastAsia="黑体" w:cs="Times New Roman"/>
      <w:sz w:val="32"/>
      <w:szCs w:val="24"/>
    </w:rPr>
  </w:style>
  <w:style w:type="character" w:customStyle="1" w:styleId="18">
    <w:name w:val="标题 1 字符"/>
    <w:basedOn w:val="13"/>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7c332a3e-c79c-49c6-996a-41c0525f498b</errorID>
      <errorWord>100万以下</errorWord>
      <group>L1_Word</group>
      <groupName>字词问题</groupName>
      <ability>L2_Typo</ability>
      <abilityName>字词错误</abilityName>
      <candidateList>
        <item>100万元以下</item>
      </candidateList>
      <explain/>
      <paraID>291C42AC</paraID>
      <start>11</start>
      <end>17</end>
      <status>unmodified</status>
      <modifiedWord/>
      <trackRevisions>false</trackRevisions>
    </reviewItem>
    <reviewItem>
      <errorID>fa11d039-32cc-426c-8993-29d374060586</errorID>
      <errorWord>-</errorWord>
      <group>L1_Format</group>
      <groupName>格式问题</groupName>
      <ability>L2_HalfPunc</ability>
      <abilityName>全半角检查</abilityName>
      <candidateList>
        <item>－</item>
      </candidateList>
      <explain>文本全半角错误。</explain>
      <paraID>5B3EB997</paraID>
      <start>12</start>
      <end>13</end>
      <status>unmodified</status>
      <modifiedWord/>
      <trackRevisions>false</trackRevisions>
    </reviewItem>
    <reviewItem>
      <errorID>c029c77b-6120-4cfc-b1d5-fe7872fafa0a</errorID>
      <errorWord>列⼊</errorWord>
      <group>L1_Word</group>
      <groupName>字词问题</groupName>
      <ability>L2_Typo</ability>
      <abilityName>字词错误</abilityName>
      <candidateList>
        <item>列入</item>
      </candidateList>
      <explain/>
      <paraID>6F40C616</paraID>
      <start>16</start>
      <end>18</end>
      <status>modified</status>
      <modifiedWord>列入</modifiedWord>
      <trackRevisions>false</trackRevisions>
    </reviewItem>
    <reviewItem>
      <errorID>73a04fce-5ac5-4d5d-a7d5-b8a5911b74d4</errorID>
      <errorWord>需具备</errorWord>
      <group>L1_Word</group>
      <groupName>字词问题</groupName>
      <ability>L2_Typo</ability>
      <abilityName>字词错误</abilityName>
      <candidateList>
        <item>须具备</item>
      </candidateList>
      <explain/>
      <paraID>7B178C18</paraID>
      <start>33</start>
      <end>36</end>
      <status>ignored</status>
      <modifiedWord/>
      <trackRevisions>false</trackRevisions>
    </reviewItem>
    <reviewItem>
      <errorID>b5a31593-0eef-4e65-a289-95b1f6a747a1</errorID>
      <errorWord>详实</errorWord>
      <group>L1_Word</group>
      <groupName>字词问题</groupName>
      <ability>L2_Typo</ability>
      <abilityName>字词错误</abilityName>
      <candidateList>
        <item>翔实</item>
      </candidateList>
      <explain/>
      <paraID>55C6904F</paraID>
      <start>12</start>
      <end>14</end>
      <status>modified</status>
      <modifiedWord>翔实</modifiedWord>
      <trackRevisions>false</trackRevisions>
    </reviewItem>
    <reviewItem>
      <errorID>9a23c2e8-7213-4a0d-ac0a-b4b5515a0087</errorID>
      <errorWord>合理的</errorWord>
      <group>L1_Word</group>
      <groupName>字词问题</groupName>
      <ability>L2_Typo</ability>
      <abilityName>字词错误</abilityName>
      <candidateList>
        <item>合理</item>
      </candidateList>
      <explain/>
      <paraID>55C6904F</paraID>
      <start>40</start>
      <end>42</end>
      <status>modified</status>
      <modifiedWord>合理</modifiedWord>
      <trackRevisions>false</trackRevisions>
    </reviewItem>
    <reviewItem>
      <errorID>d80ef439-52ee-4b1a-ac50-77ad7f411a9e</errorID>
      <errorWord>。</errorWord>
      <group>L1_Grammar</group>
      <groupName>语法问题</groupName>
      <ability>L2_Grammar</ability>
      <abilityName>语法错误</abilityName>
      <candidateList>
        <item>。（此条无错误）</item>
      </candidateList>
      <explain/>
      <paraID>3FA87106</paraID>
      <start>175</start>
      <end>183</end>
      <status>modified</status>
      <modifiedWord>。（此条无错误）</modifiedWord>
      <trackRevisions>false</trackRevisions>
    </reviewItem>
    <reviewItem>
      <errorID>232ded42-0ee2-4df9-b779-f15b8f6def18</errorID>
      <errorWord>【须</errorWord>
      <group>L1_Word</group>
      <groupName>字词问题</groupName>
      <ability>L2_Typo</ability>
      <abilityName>字词错误</abilityName>
      <candidateList>
        <item>须</item>
      </candidateList>
      <explain/>
      <paraID>57BC30EE</paraID>
      <start>0</start>
      <end>2</end>
      <status>ignored</status>
      <modifiedWord/>
      <trackRevisions>false</trackRevisions>
    </reviewItem>
    <reviewItem>
      <errorID>caf22ccf-3256-41ac-ac52-fda31f3e5011</errorID>
      <errorWord>。】</errorWord>
      <group>L1_Word</group>
      <groupName>字词问题</groupName>
      <ability>L2_Typo</ability>
      <abilityName>字词错误</abilityName>
      <candidateList>
        <item>。</item>
      </candidateList>
      <explain/>
      <paraID>57BC30EE</paraID>
      <start>61</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e70dc-3009-43ec-b5e6-45c14d546910}">
  <ds:schemaRefs/>
</ds:datastoreItem>
</file>

<file path=docProps/app.xml><?xml version="1.0" encoding="utf-8"?>
<Properties xmlns="http://schemas.openxmlformats.org/officeDocument/2006/extended-properties" xmlns:vt="http://schemas.openxmlformats.org/officeDocument/2006/docPropsVTypes">
  <Template>Normal</Template>
  <Pages>6</Pages>
  <Words>4475</Words>
  <Characters>4643</Characters>
  <Lines>7</Lines>
  <Paragraphs>2</Paragraphs>
  <TotalTime>39</TotalTime>
  <ScaleCrop>false</ScaleCrop>
  <LinksUpToDate>false</LinksUpToDate>
  <CharactersWithSpaces>4713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2026-05-14T07:41:48Z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5E9B684499F740C3953CC0089B5F22AA_13</vt:lpwstr>
  </property>
  <property fmtid="{D5CDD505-2E9C-101B-9397-08002B2CF9AE}" pid="4" name="KSOTemplateDocerSaveRecord">
    <vt:lpwstr>eyJoZGlkIjoiOTgxNzhhZWVjZDVjYzFiNzUyN2FlYmU1YTIwNTA2N2MiLCJ1c2VySWQiOiIxMTI2ODg3MDA2In0=</vt:lpwstr>
  </property>
</Properties>
</file>