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36497">
      <w:pPr>
        <w:pStyle w:val="14"/>
        <w:widowControl/>
        <w:numPr>
          <w:ilvl w:val="0"/>
          <w:numId w:val="1"/>
        </w:numPr>
        <w:spacing w:line="360" w:lineRule="auto"/>
        <w:jc w:val="left"/>
        <w:rPr>
          <w:rFonts w:hint="eastAsia" w:ascii="仿宋_GB2312" w:hAnsi="仿宋_GB2312" w:eastAsia="仿宋_GB2312" w:cs="仿宋_GB2312"/>
          <w:b/>
          <w:color w:val="000000" w:themeColor="text1"/>
          <w:kern w:val="0"/>
          <w:sz w:val="28"/>
          <w:szCs w:val="28"/>
          <w14:textFill>
            <w14:solidFill>
              <w14:schemeClr w14:val="tx1"/>
            </w14:solidFill>
          </w14:textFill>
        </w:rPr>
      </w:pPr>
      <w:bookmarkStart w:id="0" w:name="_GoBack"/>
      <w:bookmarkEnd w:id="0"/>
      <w:r>
        <w:rPr>
          <w:rFonts w:hint="eastAsia" w:ascii="仿宋_GB2312" w:hAnsi="仿宋_GB2312" w:eastAsia="仿宋_GB2312" w:cs="仿宋_GB2312"/>
          <w:b/>
          <w:color w:val="000000" w:themeColor="text1"/>
          <w:kern w:val="0"/>
          <w:sz w:val="28"/>
          <w:szCs w:val="28"/>
          <w14:textFill>
            <w14:solidFill>
              <w14:schemeClr w14:val="tx1"/>
            </w14:solidFill>
          </w14:textFill>
        </w:rPr>
        <w:t>项目基本情况</w:t>
      </w:r>
    </w:p>
    <w:p w14:paraId="1BFFF27B">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项目名称：</w:t>
      </w:r>
      <w:r>
        <w:rPr>
          <w:rFonts w:hint="eastAsia" w:ascii="仿宋_GB2312" w:hAnsi="仿宋_GB2312" w:eastAsia="仿宋_GB2312" w:cs="仿宋_GB2312"/>
          <w:kern w:val="0"/>
          <w:sz w:val="28"/>
          <w:szCs w:val="28"/>
        </w:rPr>
        <w:t>2026年网络信息安全等级保护测评服务</w:t>
      </w:r>
    </w:p>
    <w:p w14:paraId="57399181">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项目预算</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10.00万元</w:t>
      </w:r>
    </w:p>
    <w:p w14:paraId="7BD0F4E7">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w:t>
      </w:r>
      <w:r>
        <w:rPr>
          <w:rFonts w:hint="eastAsia" w:ascii="仿宋_GB2312" w:hAnsi="仿宋_GB2312" w:eastAsia="仿宋_GB2312" w:cs="仿宋_GB2312"/>
          <w:kern w:val="0"/>
          <w:sz w:val="28"/>
          <w:szCs w:val="28"/>
          <w:lang w:val="en-US" w:eastAsia="zh-CN"/>
        </w:rPr>
        <w:t>报价类型</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总价</w:t>
      </w:r>
    </w:p>
    <w:p w14:paraId="067F98FA">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资金来源:政府预算资金</w:t>
      </w:r>
    </w:p>
    <w:p w14:paraId="6C4BE556">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申请科室：科教信息部</w:t>
      </w:r>
    </w:p>
    <w:p w14:paraId="3B680BD9">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科室</w:t>
      </w:r>
      <w:r>
        <w:rPr>
          <w:rFonts w:hint="eastAsia" w:ascii="仿宋_GB2312" w:hAnsi="仿宋_GB2312" w:eastAsia="仿宋_GB2312" w:cs="仿宋_GB2312"/>
          <w:kern w:val="0"/>
          <w:sz w:val="28"/>
          <w:szCs w:val="28"/>
        </w:rPr>
        <w:t>负责人/联系</w:t>
      </w:r>
      <w:r>
        <w:rPr>
          <w:rFonts w:hint="eastAsia" w:ascii="仿宋_GB2312" w:hAnsi="仿宋_GB2312" w:eastAsia="仿宋_GB2312" w:cs="仿宋_GB2312"/>
          <w:kern w:val="0"/>
          <w:sz w:val="28"/>
          <w:szCs w:val="28"/>
          <w:lang w:val="en-US" w:eastAsia="zh-CN"/>
        </w:rPr>
        <w:t>方式：赵</w:t>
      </w:r>
      <w:r>
        <w:rPr>
          <w:rFonts w:hint="eastAsia" w:ascii="仿宋_GB2312" w:hAnsi="仿宋_GB2312" w:eastAsia="仿宋_GB2312" w:cs="仿宋_GB2312"/>
          <w:sz w:val="28"/>
          <w:szCs w:val="28"/>
        </w:rPr>
        <w:t>嘉祺</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15635125008</w:t>
      </w:r>
    </w:p>
    <w:p w14:paraId="3E2419D3">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采购类别：服务</w:t>
      </w:r>
    </w:p>
    <w:p w14:paraId="2FE60DE5">
      <w:pPr>
        <w:pStyle w:val="14"/>
        <w:widowControl/>
        <w:numPr>
          <w:ilvl w:val="0"/>
          <w:numId w:val="1"/>
        </w:numPr>
        <w:spacing w:line="360" w:lineRule="auto"/>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b/>
          <w:color w:val="000000" w:themeColor="text1"/>
          <w:kern w:val="0"/>
          <w:sz w:val="28"/>
          <w:szCs w:val="28"/>
          <w:lang w:val="en-US" w:eastAsia="zh-CN"/>
          <w14:textFill>
            <w14:solidFill>
              <w14:schemeClr w14:val="tx1"/>
            </w14:solidFill>
          </w14:textFill>
        </w:rPr>
        <w:t>项目</w:t>
      </w:r>
      <w:r>
        <w:rPr>
          <w:rFonts w:hint="eastAsia" w:ascii="仿宋_GB2312" w:hAnsi="仿宋_GB2312" w:eastAsia="仿宋_GB2312" w:cs="仿宋_GB2312"/>
          <w:b/>
          <w:color w:val="000000" w:themeColor="text1"/>
          <w:kern w:val="0"/>
          <w:sz w:val="28"/>
          <w:szCs w:val="28"/>
          <w14:textFill>
            <w14:solidFill>
              <w14:schemeClr w14:val="tx1"/>
            </w14:solidFill>
          </w14:textFill>
        </w:rPr>
        <w:t>采购需求</w:t>
      </w:r>
      <w:r>
        <w:rPr>
          <w:rFonts w:hint="eastAsia" w:ascii="仿宋_GB2312" w:hAnsi="仿宋_GB2312" w:eastAsia="仿宋_GB2312" w:cs="仿宋_GB2312"/>
          <w:b/>
          <w:color w:val="000000" w:themeColor="text1"/>
          <w:kern w:val="0"/>
          <w:sz w:val="28"/>
          <w:szCs w:val="28"/>
          <w:lang w:eastAsia="zh-CN"/>
          <w14:textFill>
            <w14:solidFill>
              <w14:schemeClr w14:val="tx1"/>
            </w14:solidFill>
          </w14:textFill>
        </w:rPr>
        <w:t>：</w:t>
      </w:r>
    </w:p>
    <w:p w14:paraId="181F81E4">
      <w:pPr>
        <w:widowControl/>
        <w:spacing w:after="157" w:afterLines="50" w:line="240" w:lineRule="auto"/>
        <w:ind w:left="0" w:firstLine="0"/>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）采购项目需实现的功能和目标：</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4"/>
          <w:szCs w:val="24"/>
          <w:u w:val="single"/>
          <w:lang w:val="en-US" w:eastAsia="zh-CN"/>
        </w:rPr>
        <w:t xml:space="preserve"> 对相关业务系统进行等级保护定级备案支持、并结合等级保护测评技术要求进行测评，输出</w:t>
      </w:r>
      <w:r>
        <w:rPr>
          <w:rFonts w:hint="eastAsia" w:ascii="仿宋_GB2312" w:hAnsi="仿宋_GB2312" w:eastAsia="仿宋_GB2312" w:cs="仿宋_GB2312"/>
          <w:color w:val="000000"/>
          <w:kern w:val="0"/>
          <w:sz w:val="24"/>
          <w:szCs w:val="24"/>
          <w:u w:val="single"/>
          <w:lang w:val="en-US" w:eastAsia="zh-CN"/>
        </w:rPr>
        <w:t>测评过程文档、报告、结果等</w:t>
      </w:r>
      <w:r>
        <w:rPr>
          <w:rFonts w:hint="eastAsia" w:ascii="仿宋_GB2312" w:hAnsi="仿宋_GB2312" w:eastAsia="仿宋_GB2312" w:cs="仿宋_GB2312"/>
          <w:sz w:val="24"/>
          <w:szCs w:val="24"/>
          <w:u w:val="single"/>
          <w:lang w:val="en-US" w:eastAsia="zh-CN"/>
        </w:rPr>
        <w:t>（如</w:t>
      </w:r>
      <w:r>
        <w:rPr>
          <w:rFonts w:hint="eastAsia" w:ascii="仿宋_GB2312" w:hAnsi="仿宋_GB2312" w:eastAsia="仿宋_GB2312" w:cs="仿宋_GB2312"/>
          <w:b w:val="0"/>
          <w:bCs/>
          <w:sz w:val="24"/>
          <w:szCs w:val="24"/>
          <w:lang w:val="en-US" w:eastAsia="zh-CN"/>
        </w:rPr>
        <w:t>网络安全等级保护测评差距分析和整改建议、</w:t>
      </w:r>
      <w:r>
        <w:rPr>
          <w:rFonts w:hint="eastAsia" w:ascii="仿宋_GB2312" w:hAnsi="仿宋_GB2312" w:eastAsia="仿宋_GB2312" w:cs="仿宋_GB2312"/>
          <w:sz w:val="24"/>
          <w:szCs w:val="24"/>
          <w:u w:val="single"/>
          <w:lang w:val="en-US" w:eastAsia="zh-CN"/>
        </w:rPr>
        <w:t>等级保护测评报告、</w:t>
      </w:r>
      <w:r>
        <w:rPr>
          <w:rFonts w:hint="eastAsia" w:ascii="仿宋_GB2312" w:hAnsi="仿宋_GB2312" w:eastAsia="仿宋_GB2312" w:cs="仿宋_GB2312"/>
          <w:color w:val="000000"/>
          <w:kern w:val="0"/>
          <w:sz w:val="24"/>
          <w:szCs w:val="24"/>
          <w:u w:val="single"/>
          <w:lang w:val="en-US" w:eastAsia="zh-CN"/>
        </w:rPr>
        <w:t>接收回执以及针对新备案业务的网络安全等级保护备案证明等材料）</w:t>
      </w:r>
      <w:r>
        <w:rPr>
          <w:rFonts w:hint="eastAsia" w:ascii="仿宋_GB2312" w:hAnsi="仿宋_GB2312" w:eastAsia="仿宋_GB2312" w:cs="仿宋_GB2312"/>
          <w:sz w:val="24"/>
          <w:szCs w:val="24"/>
          <w:u w:val="single"/>
          <w:lang w:val="en-US" w:eastAsia="zh-CN"/>
        </w:rPr>
        <w:t>。</w:t>
      </w:r>
    </w:p>
    <w:p w14:paraId="0CE9E278">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9718617">
      <w:pPr>
        <w:numPr>
          <w:ilvl w:val="0"/>
          <w:numId w:val="3"/>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08926FA8">
      <w:pPr>
        <w:numPr>
          <w:ilvl w:val="0"/>
          <w:numId w:val="4"/>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         □是否仅面向小微企业</w:t>
      </w:r>
    </w:p>
    <w:p w14:paraId="4135C87C">
      <w:pPr>
        <w:numPr>
          <w:ilvl w:val="0"/>
          <w:numId w:val="4"/>
        </w:numPr>
        <w:spacing w:line="360" w:lineRule="auto"/>
        <w:ind w:left="425" w:leftChars="0" w:hanging="425" w:firstLineChars="0"/>
        <w:rPr>
          <w:rFonts w:ascii="仿宋" w:hAnsi="仿宋" w:eastAsia="仿宋"/>
          <w:sz w:val="28"/>
          <w:szCs w:val="28"/>
          <w:u w:val="single"/>
        </w:rPr>
      </w:pP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lang w:eastAsia="zh-CN"/>
        </w:rPr>
        <w:t>。</w:t>
      </w:r>
    </w:p>
    <w:p w14:paraId="59EC4E9D">
      <w:pPr>
        <w:numPr>
          <w:ilvl w:val="0"/>
          <w:numId w:val="5"/>
        </w:numP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是否接受</w:t>
      </w:r>
      <w:r>
        <w:rPr>
          <w:rFonts w:hint="eastAsia" w:ascii="仿宋_GB2312" w:hAnsi="仿宋_GB2312" w:eastAsia="仿宋_GB2312" w:cs="仿宋_GB2312"/>
          <w:b/>
          <w:bCs/>
          <w:sz w:val="28"/>
          <w:szCs w:val="28"/>
        </w:rPr>
        <w:t>联合体投标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否</w:t>
      </w:r>
    </w:p>
    <w:p w14:paraId="3240C796">
      <w:pPr>
        <w:spacing w:line="360" w:lineRule="auto"/>
        <w:rPr>
          <w:rFonts w:hint="eastAsia" w:ascii="仿宋_GB2312" w:hAnsi="仿宋_GB2312" w:eastAsia="仿宋_GB2312" w:cs="仿宋_GB2312"/>
          <w:b/>
          <w:bCs/>
          <w:sz w:val="28"/>
          <w:szCs w:val="28"/>
          <w:lang w:eastAsia="zh-CN"/>
        </w:rPr>
      </w:pPr>
      <w:r>
        <w:rPr>
          <w:rFonts w:hint="eastAsia" w:ascii="仿宋" w:hAnsi="仿宋" w:eastAsia="仿宋"/>
          <w:b/>
          <w:bCs/>
          <w:sz w:val="32"/>
          <w:szCs w:val="32"/>
        </w:rPr>
        <w:t>（</w:t>
      </w: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）采购标的汇总表</w:t>
      </w:r>
      <w:r>
        <w:rPr>
          <w:rFonts w:hint="eastAsia" w:ascii="仿宋_GB2312" w:hAnsi="仿宋_GB2312" w:eastAsia="仿宋_GB2312" w:cs="仿宋_GB2312"/>
          <w:b/>
          <w:bCs/>
          <w:sz w:val="28"/>
          <w:szCs w:val="28"/>
          <w:lang w:eastAsia="zh-CN"/>
        </w:rPr>
        <w:t>：</w:t>
      </w:r>
    </w:p>
    <w:tbl>
      <w:tblPr>
        <w:tblStyle w:val="7"/>
        <w:tblW w:w="8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2033"/>
        <w:gridCol w:w="850"/>
        <w:gridCol w:w="703"/>
        <w:gridCol w:w="1200"/>
        <w:gridCol w:w="1837"/>
      </w:tblGrid>
      <w:tr w14:paraId="14C56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611" w:type="dxa"/>
            <w:shd w:val="clear" w:color="auto" w:fill="FFFFFF"/>
            <w:tcMar>
              <w:top w:w="0" w:type="dxa"/>
              <w:right w:w="0" w:type="dxa"/>
            </w:tcMar>
            <w:vAlign w:val="center"/>
          </w:tcPr>
          <w:p w14:paraId="512DEF8D">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color w:val="000000" w:themeColor="text1"/>
                <w:kern w:val="0"/>
                <w:sz w:val="28"/>
                <w:szCs w:val="28"/>
                <w14:textFill>
                  <w14:solidFill>
                    <w14:schemeClr w14:val="tx1"/>
                  </w14:solidFill>
                </w14:textFill>
              </w:rPr>
              <w:t>名称</w:t>
            </w:r>
          </w:p>
        </w:tc>
        <w:tc>
          <w:tcPr>
            <w:tcW w:w="2033" w:type="dxa"/>
            <w:shd w:val="clear" w:color="auto" w:fill="FFFFFF"/>
            <w:tcMar>
              <w:top w:w="0" w:type="dxa"/>
              <w:right w:w="0" w:type="dxa"/>
            </w:tcMar>
            <w:vAlign w:val="center"/>
          </w:tcPr>
          <w:p w14:paraId="5C50123F">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品目 （政府采购品目分类目录）</w:t>
            </w:r>
          </w:p>
        </w:tc>
        <w:tc>
          <w:tcPr>
            <w:tcW w:w="850" w:type="dxa"/>
            <w:shd w:val="clear" w:color="auto" w:fill="FFFFFF"/>
            <w:tcMar>
              <w:top w:w="0" w:type="dxa"/>
              <w:right w:w="0" w:type="dxa"/>
            </w:tcMar>
            <w:vAlign w:val="center"/>
          </w:tcPr>
          <w:p w14:paraId="25DCFC91">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计量单位</w:t>
            </w:r>
          </w:p>
        </w:tc>
        <w:tc>
          <w:tcPr>
            <w:tcW w:w="703" w:type="dxa"/>
            <w:shd w:val="clear" w:color="auto" w:fill="FFFFFF"/>
            <w:vAlign w:val="center"/>
          </w:tcPr>
          <w:p w14:paraId="498C30E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数量</w:t>
            </w:r>
          </w:p>
        </w:tc>
        <w:tc>
          <w:tcPr>
            <w:tcW w:w="1200" w:type="dxa"/>
            <w:shd w:val="clear" w:color="auto" w:fill="FFFFFF"/>
            <w:vAlign w:val="center"/>
          </w:tcPr>
          <w:p w14:paraId="2A848B76">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总</w:t>
            </w:r>
            <w:r>
              <w:rPr>
                <w:rFonts w:hint="eastAsia" w:ascii="仿宋_GB2312" w:hAnsi="仿宋_GB2312" w:eastAsia="仿宋_GB2312" w:cs="仿宋_GB2312"/>
                <w:color w:val="000000" w:themeColor="text1"/>
                <w:kern w:val="0"/>
                <w:sz w:val="28"/>
                <w:szCs w:val="28"/>
                <w14:textFill>
                  <w14:solidFill>
                    <w14:schemeClr w14:val="tx1"/>
                  </w14:solidFill>
                </w14:textFill>
              </w:rPr>
              <w:t>预算</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元</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c>
          <w:tcPr>
            <w:tcW w:w="1837" w:type="dxa"/>
            <w:shd w:val="clear" w:color="auto" w:fill="FFFFFF"/>
            <w:tcMar>
              <w:top w:w="0" w:type="dxa"/>
              <w:right w:w="0" w:type="dxa"/>
            </w:tcMar>
            <w:vAlign w:val="center"/>
          </w:tcPr>
          <w:p w14:paraId="310AC80C">
            <w:pPr>
              <w:autoSpaceDE w:val="0"/>
              <w:autoSpaceDN w:val="0"/>
              <w:adjustRightInd w:val="0"/>
              <w:spacing w:line="240" w:lineRule="auto"/>
              <w:jc w:val="center"/>
              <w:rPr>
                <w:rFonts w:hint="eastAsia" w:ascii="仿宋_GB2312" w:hAnsi="仿宋_GB2312" w:eastAsia="仿宋_GB2312" w:cs="仿宋_GB2312"/>
                <w:color w:val="000000" w:themeColor="text1"/>
                <w:kern w:val="0"/>
                <w:sz w:val="28"/>
                <w:szCs w:val="28"/>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是否进口</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货物类提供</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p>
        </w:tc>
      </w:tr>
      <w:tr w14:paraId="46AA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11" w:type="dxa"/>
            <w:shd w:val="clear" w:color="auto" w:fill="FFFFFF"/>
            <w:tcMar>
              <w:top w:w="0" w:type="dxa"/>
              <w:right w:w="0" w:type="dxa"/>
            </w:tcMar>
            <w:vAlign w:val="center"/>
          </w:tcPr>
          <w:p w14:paraId="516E5DDE">
            <w:pPr>
              <w:autoSpaceDE w:val="0"/>
              <w:autoSpaceDN w:val="0"/>
              <w:adjustRightInd w:val="0"/>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等级保护测评及商用密码应用安全性评估服务</w:t>
            </w:r>
          </w:p>
        </w:tc>
        <w:tc>
          <w:tcPr>
            <w:tcW w:w="2033" w:type="dxa"/>
            <w:shd w:val="clear" w:color="auto" w:fill="FFFFFF"/>
            <w:tcMar>
              <w:top w:w="0" w:type="dxa"/>
              <w:right w:w="0" w:type="dxa"/>
            </w:tcMar>
            <w:vAlign w:val="center"/>
          </w:tcPr>
          <w:p w14:paraId="2C01D29E">
            <w:pPr>
              <w:autoSpaceDE w:val="0"/>
              <w:autoSpaceDN w:val="0"/>
              <w:adjustRightInd w:val="0"/>
              <w:jc w:val="center"/>
              <w:rPr>
                <w:rFonts w:hint="eastAsia" w:ascii="仿宋_GB2312" w:hAnsi="仿宋_GB2312" w:eastAsia="仿宋_GB2312" w:cs="仿宋_GB2312"/>
                <w:color w:val="5E6B87"/>
                <w:kern w:val="0"/>
                <w:sz w:val="28"/>
                <w:szCs w:val="28"/>
                <w:lang w:eastAsia="zh-CN"/>
              </w:rPr>
            </w:pPr>
            <w:r>
              <w:rPr>
                <w:rFonts w:hint="eastAsia" w:ascii="仿宋_GB2312" w:hAnsi="仿宋_GB2312" w:eastAsia="仿宋_GB2312" w:cs="仿宋_GB2312"/>
                <w:color w:val="5E6B87"/>
                <w:kern w:val="0"/>
                <w:sz w:val="28"/>
                <w:szCs w:val="28"/>
              </w:rPr>
              <w:t>C16060000</w:t>
            </w:r>
            <w:r>
              <w:rPr>
                <w:rFonts w:hint="eastAsia" w:ascii="仿宋_GB2312" w:hAnsi="仿宋_GB2312" w:eastAsia="仿宋_GB2312" w:cs="仿宋_GB2312"/>
                <w:color w:val="5E6B87"/>
                <w:kern w:val="0"/>
                <w:sz w:val="28"/>
                <w:szCs w:val="28"/>
                <w:lang w:eastAsia="zh-CN"/>
              </w:rPr>
              <w:t>测试评估认证服务</w:t>
            </w:r>
          </w:p>
        </w:tc>
        <w:tc>
          <w:tcPr>
            <w:tcW w:w="850" w:type="dxa"/>
            <w:shd w:val="clear" w:color="auto" w:fill="FFFFFF"/>
            <w:tcMar>
              <w:top w:w="0" w:type="dxa"/>
              <w:right w:w="0" w:type="dxa"/>
            </w:tcMar>
            <w:vAlign w:val="center"/>
          </w:tcPr>
          <w:p w14:paraId="2633EC82">
            <w:pPr>
              <w:autoSpaceDE w:val="0"/>
              <w:autoSpaceDN w:val="0"/>
              <w:adjustRightInd w:val="0"/>
              <w:jc w:val="center"/>
              <w:rPr>
                <w:rFonts w:hint="eastAsia" w:ascii="仿宋_GB2312" w:hAnsi="仿宋_GB2312" w:eastAsia="仿宋_GB2312" w:cs="仿宋_GB2312"/>
                <w:color w:val="5E6B87"/>
                <w:kern w:val="0"/>
                <w:sz w:val="28"/>
                <w:szCs w:val="28"/>
                <w:lang w:val="en-US" w:eastAsia="zh-CN"/>
              </w:rPr>
            </w:pPr>
            <w:r>
              <w:rPr>
                <w:rFonts w:hint="eastAsia" w:ascii="仿宋_GB2312" w:hAnsi="仿宋_GB2312" w:eastAsia="仿宋_GB2312" w:cs="仿宋_GB2312"/>
                <w:color w:val="5E6B87"/>
                <w:kern w:val="0"/>
                <w:sz w:val="28"/>
                <w:szCs w:val="28"/>
                <w:lang w:val="en-US" w:eastAsia="zh-CN"/>
              </w:rPr>
              <w:t>项</w:t>
            </w:r>
          </w:p>
        </w:tc>
        <w:tc>
          <w:tcPr>
            <w:tcW w:w="703" w:type="dxa"/>
            <w:shd w:val="clear" w:color="auto" w:fill="FFFFFF"/>
            <w:vAlign w:val="center"/>
          </w:tcPr>
          <w:p w14:paraId="156CBD6D">
            <w:pPr>
              <w:autoSpaceDE w:val="0"/>
              <w:autoSpaceDN w:val="0"/>
              <w:adjustRightInd w:val="0"/>
              <w:jc w:val="cente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w:t>
            </w:r>
          </w:p>
        </w:tc>
        <w:tc>
          <w:tcPr>
            <w:tcW w:w="1200" w:type="dxa"/>
            <w:shd w:val="clear" w:color="auto" w:fill="FFFFFF"/>
            <w:vAlign w:val="center"/>
          </w:tcPr>
          <w:p w14:paraId="66B3A3A9">
            <w:pPr>
              <w:autoSpaceDE w:val="0"/>
              <w:autoSpaceDN w:val="0"/>
              <w:adjustRightInd w:val="0"/>
              <w:jc w:val="center"/>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100000</w:t>
            </w:r>
          </w:p>
        </w:tc>
        <w:tc>
          <w:tcPr>
            <w:tcW w:w="1837" w:type="dxa"/>
            <w:shd w:val="clear" w:color="auto" w:fill="FFFFFF"/>
            <w:tcMar>
              <w:top w:w="0" w:type="dxa"/>
              <w:right w:w="0" w:type="dxa"/>
            </w:tcMar>
            <w:vAlign w:val="center"/>
          </w:tcPr>
          <w:p w14:paraId="173D0A01">
            <w:pPr>
              <w:autoSpaceDE w:val="0"/>
              <w:autoSpaceDN w:val="0"/>
              <w:adjustRightInd w:val="0"/>
              <w:jc w:val="center"/>
              <w:rPr>
                <w:rFonts w:hint="eastAsia" w:ascii="仿宋_GB2312" w:hAnsi="仿宋_GB2312" w:eastAsia="仿宋_GB2312" w:cs="仿宋_GB2312"/>
                <w:color w:val="5E6B87"/>
                <w:kern w:val="0"/>
                <w:sz w:val="28"/>
                <w:szCs w:val="28"/>
                <w:lang w:val="en-US" w:eastAsia="zh-CN"/>
              </w:rPr>
            </w:pPr>
            <w:r>
              <w:rPr>
                <w:rFonts w:hint="eastAsia" w:ascii="仿宋_GB2312" w:hAnsi="仿宋_GB2312" w:eastAsia="仿宋_GB2312" w:cs="仿宋_GB2312"/>
                <w:color w:val="5E6B87"/>
                <w:kern w:val="0"/>
                <w:sz w:val="28"/>
                <w:szCs w:val="28"/>
                <w:lang w:val="en-US" w:eastAsia="zh-CN"/>
              </w:rPr>
              <w:t>否</w:t>
            </w:r>
          </w:p>
        </w:tc>
      </w:tr>
    </w:tbl>
    <w:p w14:paraId="12F8F315">
      <w:pPr>
        <w:numPr>
          <w:ilvl w:val="0"/>
          <w:numId w:val="0"/>
        </w:numPr>
        <w:rPr>
          <w:rFonts w:hint="default" w:ascii="仿宋_GB2312" w:hAnsi="仿宋_GB2312" w:eastAsia="仿宋_GB2312" w:cs="仿宋_GB2312"/>
          <w:b/>
          <w:bCs/>
          <w:sz w:val="24"/>
          <w:szCs w:val="24"/>
          <w:lang w:val="en-US"/>
        </w:rPr>
      </w:pPr>
      <w:r>
        <w:rPr>
          <w:rFonts w:hint="eastAsia" w:ascii="仿宋_GB2312" w:hAnsi="仿宋_GB2312" w:eastAsia="仿宋_GB2312" w:cs="仿宋_GB2312"/>
          <w:b/>
          <w:bCs/>
          <w:sz w:val="24"/>
          <w:szCs w:val="24"/>
          <w:lang w:val="en-US" w:eastAsia="zh-CN"/>
        </w:rPr>
        <w:t>备注：本服务涉及2级系统2个（SPD、OA系统）、3级系统1个（互联网医院系统）均需要进行等级保护测评，其中2级系统（SPD、OA系统）同时需要提供系统定级支持。</w:t>
      </w:r>
    </w:p>
    <w:p w14:paraId="6BC97D3F">
      <w:pPr>
        <w:numPr>
          <w:ilvl w:val="0"/>
          <w:numId w:val="0"/>
        </w:numPr>
        <w:rPr>
          <w:rFonts w:hint="eastAsia"/>
          <w:b/>
          <w:bCs/>
          <w:lang w:val="en-US" w:eastAsia="zh-CN"/>
        </w:rPr>
      </w:pP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按照规定及项目情况设置投标供应商资格要求：</w:t>
      </w:r>
    </w:p>
    <w:p w14:paraId="4B2DDB84">
      <w:pPr>
        <w:pStyle w:val="14"/>
        <w:numPr>
          <w:ilvl w:val="255"/>
          <w:numId w:val="0"/>
        </w:numPr>
        <w:spacing w:after="157" w:afterLines="5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.1、供应商必须是中华人民共和国的公司企业法人注册，具有合法经营资格的国内独立法人，《营业执照》、《税务登记证》、《组织机构代码证》或“三证合一”的《营业执照》（</w:t>
      </w:r>
      <w:r>
        <w:rPr>
          <w:rFonts w:ascii="宋体" w:hAnsi="宋体" w:eastAsia="宋体" w:cs="宋体"/>
          <w:sz w:val="24"/>
          <w:szCs w:val="24"/>
        </w:rPr>
        <w:t>提供有效证书扫描件（加盖公章）</w:t>
      </w:r>
      <w:r>
        <w:rPr>
          <w:rFonts w:hint="eastAsia" w:ascii="仿宋_GB2312" w:hAnsi="仿宋_GB2312" w:eastAsia="仿宋_GB2312" w:cs="仿宋_GB2312"/>
          <w:sz w:val="24"/>
        </w:rPr>
        <w:t>，原件备查）；</w:t>
      </w:r>
    </w:p>
    <w:p w14:paraId="22ADAFC9">
      <w:pPr>
        <w:pStyle w:val="14"/>
        <w:numPr>
          <w:ilvl w:val="255"/>
          <w:numId w:val="0"/>
        </w:numPr>
        <w:spacing w:after="157" w:afterLines="50"/>
        <w:rPr>
          <w:rFonts w:hint="eastAsia" w:ascii="仿宋_GB2312" w:hAnsi="仿宋_GB2312" w:eastAsia="仿宋_GB2312" w:cs="仿宋_GB2312"/>
          <w:sz w:val="24"/>
          <w:szCs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.2、供应商必须具备</w:t>
      </w:r>
      <w:r>
        <w:rPr>
          <w:rStyle w:val="10"/>
          <w:rFonts w:hint="eastAsia" w:ascii="仿宋_GB2312" w:hAnsi="仿宋_GB2312" w:eastAsia="仿宋_GB2312" w:cs="仿宋_GB2312"/>
          <w:sz w:val="24"/>
          <w:szCs w:val="24"/>
        </w:rPr>
        <w:fldChar w:fldCharType="begin"/>
      </w:r>
      <w:r>
        <w:rPr>
          <w:rStyle w:val="10"/>
          <w:rFonts w:hint="eastAsia" w:ascii="仿宋_GB2312" w:hAnsi="仿宋_GB2312" w:eastAsia="仿宋_GB2312" w:cs="仿宋_GB2312"/>
          <w:sz w:val="24"/>
          <w:szCs w:val="24"/>
        </w:rPr>
        <w:instrText xml:space="preserve"> HYPERLINK "https://www.baidu.com/s?sa=re_dqa_generate&amp;wd=%E5%85%AC%E5%AE%89%E9%83%A8%E7%AC%AC%E4%B8%89%E7%A0%94%E7%A9%B6%E6%89%80&amp;rsv_pq=96857f0a0007ed17&amp;oq=%E7%BD%91%E7%BB%9C%E5%AE%89%E5%85%A8%E7%AD%89%E7%BA%A7%E6%B5%8B%E8%AF%84%E4%B8%8E%E6%A3%80%E6%B5%8B%E8%AF%84%E4%BC%B0%E6%9C%BA%E6%9E%84%E6%9C%8D%E5%8A%A1%E8%AE%A4%E8%AF%81%E8%AF%81%E4%B9%A6%E5%8F%91%E8%AF%81%E6%9C%BA%E6%9E%84&amp;rsv_t=9e52/Ik8V8GOGwXnysIWk9ndk2E6HMyXMBdBdOy91AkIkdfzqcgYVcF2xJ8&amp;tn=baidu&amp;ie=utf-8" \t "https://www.baidu.com/_blank" </w:instrText>
      </w:r>
      <w:r>
        <w:rPr>
          <w:rStyle w:val="10"/>
          <w:rFonts w:hint="eastAsia" w:ascii="仿宋_GB2312" w:hAnsi="仿宋_GB2312" w:eastAsia="仿宋_GB2312" w:cs="仿宋_GB2312"/>
          <w:sz w:val="24"/>
          <w:szCs w:val="24"/>
        </w:rPr>
        <w:fldChar w:fldCharType="separate"/>
      </w:r>
      <w:r>
        <w:rPr>
          <w:rStyle w:val="11"/>
          <w:rFonts w:hint="eastAsia" w:ascii="仿宋_GB2312" w:hAnsi="仿宋_GB2312" w:eastAsia="仿宋_GB2312" w:cs="仿宋_GB2312"/>
          <w:sz w:val="24"/>
          <w:szCs w:val="24"/>
        </w:rPr>
        <w:t>公安部第三研究所</w:t>
      </w:r>
      <w:r>
        <w:rPr>
          <w:rStyle w:val="10"/>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rPr>
        <w:t>颁发的《</w:t>
      </w:r>
      <w:r>
        <w:rPr>
          <w:rFonts w:hint="eastAsia" w:ascii="仿宋_GB2312" w:hAnsi="仿宋_GB2312" w:eastAsia="仿宋_GB2312" w:cs="仿宋_GB2312"/>
          <w:color w:val="000000"/>
          <w:sz w:val="24"/>
        </w:rPr>
        <w:t>网络安全等级测评与检测评估机构服务认证证书</w:t>
      </w:r>
      <w:r>
        <w:rPr>
          <w:rFonts w:hint="eastAsia" w:ascii="仿宋_GB2312" w:hAnsi="仿宋_GB2312" w:eastAsia="仿宋_GB2312" w:cs="仿宋_GB2312"/>
          <w:sz w:val="24"/>
        </w:rPr>
        <w:t>》（</w:t>
      </w:r>
      <w:r>
        <w:rPr>
          <w:rFonts w:ascii="宋体" w:hAnsi="宋体" w:eastAsia="宋体" w:cs="宋体"/>
          <w:sz w:val="24"/>
          <w:szCs w:val="24"/>
        </w:rPr>
        <w:t>提供有效证书扫描件（加盖公章）</w:t>
      </w:r>
      <w:r>
        <w:rPr>
          <w:rFonts w:hint="eastAsia" w:ascii="仿宋_GB2312" w:hAnsi="仿宋_GB2312" w:eastAsia="仿宋_GB2312" w:cs="仿宋_GB2312"/>
          <w:sz w:val="24"/>
          <w:lang w:val="en-US" w:eastAsia="zh-CN"/>
        </w:rPr>
        <w:t>及授权函</w:t>
      </w:r>
      <w:r>
        <w:rPr>
          <w:rFonts w:hint="eastAsia" w:ascii="仿宋_GB2312" w:hAnsi="仿宋_GB2312" w:eastAsia="仿宋_GB2312" w:cs="仿宋_GB2312"/>
          <w:sz w:val="24"/>
        </w:rPr>
        <w:t>扫描件，原件备查）。</w:t>
      </w:r>
    </w:p>
    <w:p w14:paraId="685F779A">
      <w:pPr>
        <w:pStyle w:val="14"/>
        <w:numPr>
          <w:ilvl w:val="255"/>
          <w:numId w:val="0"/>
        </w:numPr>
        <w:spacing w:after="157" w:afterLines="5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.3、供应商必须承诺参与本项目投标前三年内，在经营活动中没有重大违法记录，以及参与本项目政府采购活动时不存在被有关部门禁止参与政府采购活动且在有效期内的情况（承诺函模板见附件）；</w:t>
      </w:r>
    </w:p>
    <w:p w14:paraId="16B4584A">
      <w:pPr>
        <w:spacing w:after="157" w:afterLines="50" w:line="240" w:lineRule="auto"/>
        <w:rPr>
          <w:rFonts w:hint="eastAsia" w:ascii="仿宋_GB2312" w:hAnsi="仿宋_GB2312" w:eastAsia="仿宋_GB2312" w:cs="仿宋_GB2312"/>
          <w:sz w:val="24"/>
        </w:rPr>
      </w:pPr>
      <w:r>
        <w:rPr>
          <w:rFonts w:hint="eastAsia" w:ascii="仿宋_GB2312" w:hAnsi="仿宋_GB2312" w:eastAsia="仿宋_GB2312" w:cs="仿宋_GB2312"/>
          <w:sz w:val="24"/>
        </w:rPr>
        <w:t>注：供应商若提供虚假资料一旦被查实，则可能面临被取消本项目资格、列入不良行为名单内。</w:t>
      </w:r>
    </w:p>
    <w:p w14:paraId="3794EC5D">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技术</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服务</w:t>
      </w:r>
      <w:r>
        <w:rPr>
          <w:rFonts w:hint="eastAsia" w:ascii="仿宋_GB2312" w:hAnsi="仿宋_GB2312" w:eastAsia="仿宋_GB2312" w:cs="仿宋_GB2312"/>
          <w:b/>
          <w:bCs/>
          <w:sz w:val="28"/>
          <w:szCs w:val="28"/>
        </w:rPr>
        <w:t>要求与商务要求</w:t>
      </w:r>
      <w:r>
        <w:rPr>
          <w:rFonts w:hint="eastAsia" w:ascii="仿宋_GB2312" w:hAnsi="仿宋_GB2312" w:eastAsia="仿宋_GB2312" w:cs="仿宋_GB2312"/>
          <w:b/>
          <w:bCs/>
          <w:sz w:val="28"/>
          <w:szCs w:val="28"/>
          <w:lang w:eastAsia="zh-CN"/>
        </w:rPr>
        <w:t>：</w:t>
      </w:r>
    </w:p>
    <w:p w14:paraId="5C8F31FD">
      <w:pPr>
        <w:numPr>
          <w:ilvl w:val="0"/>
          <w:numId w:val="0"/>
        </w:numPr>
        <w:ind w:left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6.1服务</w:t>
      </w:r>
      <w:r>
        <w:rPr>
          <w:rFonts w:hint="eastAsia" w:ascii="仿宋_GB2312" w:hAnsi="仿宋_GB2312" w:eastAsia="仿宋_GB2312" w:cs="仿宋_GB2312"/>
          <w:sz w:val="28"/>
          <w:szCs w:val="28"/>
        </w:rPr>
        <w:t>要求</w:t>
      </w:r>
      <w:r>
        <w:rPr>
          <w:rFonts w:hint="eastAsia" w:ascii="仿宋_GB2312" w:hAnsi="仿宋_GB2312" w:eastAsia="仿宋_GB2312" w:cs="仿宋_GB2312"/>
          <w:sz w:val="28"/>
          <w:szCs w:val="28"/>
          <w:lang w:eastAsia="zh-CN"/>
        </w:rPr>
        <w:t>：</w:t>
      </w:r>
    </w:p>
    <w:p w14:paraId="26F25F09">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w:t>
      </w:r>
      <w:r>
        <w:rPr>
          <w:rFonts w:hint="eastAsia" w:ascii="仿宋_GB2312" w:hAnsi="仿宋_GB2312" w:eastAsia="仿宋_GB2312" w:cs="仿宋_GB2312"/>
          <w:b w:val="0"/>
          <w:bCs/>
          <w:sz w:val="24"/>
          <w:szCs w:val="24"/>
        </w:rPr>
        <w:t>1.</w:t>
      </w:r>
      <w:r>
        <w:rPr>
          <w:rFonts w:hint="eastAsia" w:ascii="仿宋_GB2312" w:hAnsi="仿宋_GB2312" w:eastAsia="仿宋_GB2312" w:cs="仿宋_GB2312"/>
          <w:b w:val="0"/>
          <w:bCs/>
          <w:sz w:val="24"/>
          <w:szCs w:val="24"/>
          <w:lang w:val="en-US" w:eastAsia="zh-CN"/>
        </w:rPr>
        <w:t>1</w:t>
      </w:r>
      <w:r>
        <w:rPr>
          <w:rFonts w:hint="eastAsia" w:ascii="仿宋_GB2312" w:hAnsi="仿宋_GB2312" w:eastAsia="仿宋_GB2312" w:cs="仿宋_GB2312"/>
          <w:b w:val="0"/>
          <w:bCs/>
          <w:sz w:val="24"/>
          <w:szCs w:val="24"/>
        </w:rPr>
        <w:t>、</w:t>
      </w:r>
      <w:r>
        <w:rPr>
          <w:rFonts w:hint="eastAsia" w:ascii="仿宋_GB2312" w:hAnsi="仿宋_GB2312" w:eastAsia="仿宋_GB2312" w:cs="仿宋_GB2312"/>
          <w:b w:val="0"/>
          <w:bCs/>
          <w:sz w:val="24"/>
          <w:szCs w:val="24"/>
          <w:lang w:val="en-US" w:eastAsia="zh-CN"/>
        </w:rPr>
        <w:t>等级保护测评</w:t>
      </w:r>
    </w:p>
    <w:p w14:paraId="78E38D53">
      <w:pPr>
        <w:pStyle w:val="2"/>
        <w:rPr>
          <w:rFonts w:hint="default"/>
          <w:lang w:val="en-US" w:eastAsia="zh-CN"/>
        </w:rPr>
      </w:pPr>
      <w:r>
        <w:rPr>
          <w:rFonts w:hint="eastAsia" w:ascii="仿宋_GB2312" w:hAnsi="仿宋_GB2312" w:eastAsia="仿宋_GB2312" w:cs="仿宋_GB2312"/>
          <w:b w:val="0"/>
          <w:bCs/>
          <w:sz w:val="24"/>
          <w:szCs w:val="24"/>
          <w:lang w:val="en-US" w:eastAsia="zh-CN"/>
        </w:rPr>
        <w:t>对SPD、OA系统、互联网医院系统进行等级保护测评，要求如下：</w:t>
      </w:r>
    </w:p>
    <w:tbl>
      <w:tblPr>
        <w:tblStyle w:val="7"/>
        <w:tblW w:w="8938" w:type="dxa"/>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30"/>
        <w:gridCol w:w="6608"/>
      </w:tblGrid>
      <w:tr w14:paraId="55DD0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30"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72D7E5D5">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rPr>
              <w:t>测评</w:t>
            </w:r>
            <w:r>
              <w:rPr>
                <w:rFonts w:hint="eastAsia" w:ascii="仿宋_GB2312" w:hAnsi="仿宋_GB2312" w:eastAsia="仿宋_GB2312" w:cs="仿宋_GB2312"/>
                <w:b w:val="0"/>
                <w:bCs/>
                <w:sz w:val="24"/>
                <w:szCs w:val="24"/>
              </w:rPr>
              <w:t>内容</w:t>
            </w:r>
          </w:p>
        </w:tc>
        <w:tc>
          <w:tcPr>
            <w:tcW w:w="6608" w:type="dxa"/>
            <w:tcBorders>
              <w:top w:val="single" w:color="000000" w:sz="6" w:space="0"/>
              <w:left w:val="single" w:color="000000" w:sz="6" w:space="0"/>
              <w:bottom w:val="single" w:color="000000" w:sz="6" w:space="0"/>
              <w:right w:val="single" w:color="000000" w:sz="6" w:space="0"/>
            </w:tcBorders>
            <w:shd w:val="clear" w:color="auto" w:fill="D6D6D6"/>
            <w:noWrap w:val="0"/>
            <w:vAlign w:val="center"/>
          </w:tcPr>
          <w:p w14:paraId="61BEFD4C">
            <w:pPr>
              <w:pStyle w:val="16"/>
              <w:spacing w:line="240" w:lineRule="auto"/>
              <w:ind w:left="0" w:leftChars="0" w:firstLine="0" w:firstLineChars="0"/>
              <w:jc w:val="cente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具体要求</w:t>
            </w:r>
          </w:p>
        </w:tc>
      </w:tr>
      <w:tr w14:paraId="11C56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4BE3CA6E">
            <w:pPr>
              <w:spacing w:after="157" w:afterLines="50"/>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color w:val="000000"/>
                <w:sz w:val="24"/>
                <w:szCs w:val="24"/>
              </w:rPr>
              <w:t>差距测评</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73F8A6BA">
            <w:pPr>
              <w:spacing w:after="157" w:afterLines="50"/>
              <w:ind w:left="0" w:leftChars="0" w:firstLine="0" w:firstLineChars="0"/>
              <w:jc w:val="left"/>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根据用户系统安全等级保护定级情况，制定信息系统安全等级保护测评方案，对信息系统涉及的机房、网络/安全设备、主机设备、应用系统、安全管理体系等进行等级保护差距测评，并提交不符合项表和整改建议（现场测评）。</w:t>
            </w:r>
          </w:p>
        </w:tc>
      </w:tr>
      <w:tr w14:paraId="7D9D4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2103E2AF">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color w:val="000000"/>
                <w:sz w:val="24"/>
                <w:szCs w:val="24"/>
              </w:rPr>
              <w:t>漏洞扫描</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59BAFFD5">
            <w:pPr>
              <w:pStyle w:val="16"/>
              <w:spacing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对被测信息系统服务器、应用系统进行漏洞扫描，列出被测信息系统中存在的主要问题以及可能造成的后果，并提出整改建议（现场扫描+远程扫描）</w:t>
            </w:r>
          </w:p>
        </w:tc>
      </w:tr>
      <w:tr w14:paraId="71285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152E9CA6">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rPr>
            </w:pPr>
            <w:r>
              <w:rPr>
                <w:rFonts w:hint="eastAsia" w:ascii="仿宋_GB2312" w:hAnsi="仿宋_GB2312" w:eastAsia="仿宋_GB2312" w:cs="仿宋_GB2312"/>
                <w:b w:val="0"/>
                <w:bCs/>
                <w:sz w:val="24"/>
                <w:szCs w:val="24"/>
              </w:rPr>
              <w:t>渗透测试</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7049F5CC">
            <w:pPr>
              <w:spacing w:after="157" w:afterLines="50"/>
              <w:ind w:left="0" w:leftChars="0" w:firstLine="0" w:firstLineChars="0"/>
              <w:jc w:val="left"/>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根据扫描结果进行漏洞分析及说明，对系统开展渗透测试，进行弱口令测试及其他手工测试，并提交修复建议（互联网渗透+现场渗透）。</w:t>
            </w:r>
          </w:p>
        </w:tc>
      </w:tr>
      <w:tr w14:paraId="508D1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trPr>
        <w:tc>
          <w:tcPr>
            <w:tcW w:w="2330" w:type="dxa"/>
            <w:tcBorders>
              <w:top w:val="single" w:color="000000" w:sz="6" w:space="0"/>
              <w:left w:val="single" w:color="000000" w:sz="6" w:space="0"/>
              <w:bottom w:val="single" w:color="000000" w:sz="6" w:space="0"/>
              <w:right w:val="single" w:color="000000" w:sz="6" w:space="0"/>
            </w:tcBorders>
            <w:noWrap w:val="0"/>
            <w:vAlign w:val="center"/>
          </w:tcPr>
          <w:p w14:paraId="0040860D">
            <w:pPr>
              <w:pStyle w:val="16"/>
              <w:spacing w:line="240" w:lineRule="auto"/>
              <w:ind w:left="0" w:leftChars="0" w:firstLine="0" w:firstLineChars="0"/>
              <w:jc w:val="center"/>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color w:val="000000"/>
                <w:sz w:val="24"/>
                <w:szCs w:val="24"/>
              </w:rPr>
              <w:t>测评</w:t>
            </w:r>
            <w:r>
              <w:rPr>
                <w:rFonts w:hint="eastAsia" w:ascii="仿宋_GB2312" w:hAnsi="仿宋_GB2312" w:eastAsia="仿宋_GB2312" w:cs="仿宋_GB2312"/>
                <w:b w:val="0"/>
                <w:bCs/>
                <w:color w:val="000000"/>
                <w:sz w:val="24"/>
                <w:szCs w:val="24"/>
                <w:lang w:val="en-US" w:eastAsia="zh-CN"/>
              </w:rPr>
              <w:t>输出</w:t>
            </w:r>
          </w:p>
        </w:tc>
        <w:tc>
          <w:tcPr>
            <w:tcW w:w="6608" w:type="dxa"/>
            <w:tcBorders>
              <w:top w:val="single" w:color="000000" w:sz="6" w:space="0"/>
              <w:left w:val="single" w:color="000000" w:sz="6" w:space="0"/>
              <w:bottom w:val="single" w:color="000000" w:sz="6" w:space="0"/>
              <w:right w:val="single" w:color="000000" w:sz="6" w:space="0"/>
            </w:tcBorders>
            <w:noWrap w:val="0"/>
            <w:vAlign w:val="center"/>
          </w:tcPr>
          <w:p w14:paraId="1D7F887E">
            <w:pPr>
              <w:spacing w:after="157" w:afterLines="50"/>
              <w:ind w:left="0" w:leftChars="0" w:firstLine="0" w:firstLineChars="0"/>
              <w:jc w:val="left"/>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color w:val="000000"/>
                <w:sz w:val="24"/>
                <w:szCs w:val="24"/>
              </w:rPr>
              <w:t>用户完成整改工作后，依据《GBT28448-2019信息安全技术网络安全等级保护测评要求》及相关等保2.0标准和要求，对信息系统进行验收性测评，并输出测评报告（现场测评）。</w:t>
            </w:r>
          </w:p>
        </w:tc>
      </w:tr>
    </w:tbl>
    <w:p w14:paraId="2719F3D0">
      <w:pPr>
        <w:pStyle w:val="3"/>
        <w:tabs>
          <w:tab w:val="left" w:pos="360"/>
          <w:tab w:val="left" w:pos="574"/>
        </w:tabs>
        <w:spacing w:before="135" w:after="157" w:afterLines="50" w:line="240" w:lineRule="auto"/>
        <w:ind w:left="0" w:leftChars="0" w:firstLine="0" w:firstLineChars="0"/>
        <w:jc w:val="both"/>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6.2、技术要求</w:t>
      </w:r>
    </w:p>
    <w:p w14:paraId="4F76EE8D">
      <w:pPr>
        <w:pStyle w:val="3"/>
        <w:tabs>
          <w:tab w:val="left" w:pos="360"/>
          <w:tab w:val="left" w:pos="574"/>
        </w:tabs>
        <w:spacing w:before="135" w:after="157" w:afterLines="50" w:line="240" w:lineRule="auto"/>
        <w:ind w:left="0" w:leftChars="0" w:firstLine="0" w:firstLineChars="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6.2.1、</w:t>
      </w:r>
      <w:r>
        <w:rPr>
          <w:rFonts w:hint="eastAsia" w:ascii="仿宋_GB2312" w:hAnsi="仿宋_GB2312" w:eastAsia="仿宋_GB2312" w:cs="仿宋_GB2312"/>
          <w:b w:val="0"/>
          <w:bCs/>
          <w:sz w:val="24"/>
          <w:szCs w:val="24"/>
        </w:rPr>
        <w:t>标准和规范</w:t>
      </w:r>
    </w:p>
    <w:p w14:paraId="2A00597B">
      <w:p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本项目实施方案设计与具体实施必须满足</w:t>
      </w:r>
      <w:r>
        <w:rPr>
          <w:rFonts w:hint="eastAsia" w:ascii="仿宋_GB2312" w:hAnsi="仿宋_GB2312" w:eastAsia="仿宋_GB2312" w:cs="仿宋_GB2312"/>
          <w:b w:val="0"/>
          <w:bCs/>
          <w:sz w:val="24"/>
          <w:szCs w:val="24"/>
          <w:lang w:val="en-US" w:eastAsia="zh-CN"/>
        </w:rPr>
        <w:t>国家及行业相关等级保护测评标准、规范并遵守</w:t>
      </w:r>
      <w:r>
        <w:rPr>
          <w:rFonts w:hint="eastAsia" w:ascii="仿宋_GB2312" w:hAnsi="仿宋_GB2312" w:eastAsia="仿宋_GB2312" w:cs="仿宋_GB2312"/>
          <w:b w:val="0"/>
          <w:bCs/>
          <w:sz w:val="24"/>
          <w:szCs w:val="24"/>
          <w:lang w:eastAsia="zh-CN"/>
        </w:rPr>
        <w:t>以下原则：</w:t>
      </w:r>
    </w:p>
    <w:p w14:paraId="598193D5">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保密原则：对测评的过程数据和结果数据严格保密，未经授权不得泄露给任何单位和个人，不得利用此数据进行任何侵害招标方的行为。</w:t>
      </w:r>
    </w:p>
    <w:p w14:paraId="51D86507">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标准性原则：测评方案的设计与实施应依据国家信息系统安全等级保护</w:t>
      </w:r>
      <w:r>
        <w:rPr>
          <w:rFonts w:hint="eastAsia" w:ascii="仿宋_GB2312" w:hAnsi="仿宋_GB2312" w:eastAsia="仿宋_GB2312" w:cs="仿宋_GB2312"/>
          <w:b w:val="0"/>
          <w:bCs/>
          <w:sz w:val="24"/>
          <w:szCs w:val="24"/>
          <w:lang w:val="en-US" w:eastAsia="zh-CN"/>
        </w:rPr>
        <w:t>\</w:t>
      </w:r>
      <w:r>
        <w:rPr>
          <w:rFonts w:hint="eastAsia" w:ascii="仿宋_GB2312" w:hAnsi="仿宋_GB2312" w:eastAsia="仿宋_GB2312" w:cs="仿宋_GB2312"/>
          <w:b w:val="0"/>
          <w:bCs/>
          <w:sz w:val="24"/>
          <w:szCs w:val="24"/>
          <w:lang w:eastAsia="zh-CN"/>
        </w:rPr>
        <w:t>的相关标准进行。</w:t>
      </w:r>
    </w:p>
    <w:p w14:paraId="2CCBE9B8">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规范性原则：投标方的工作中的过程和文档，具有很好的规范性，可以便于项目的跟踪和控制。</w:t>
      </w:r>
    </w:p>
    <w:p w14:paraId="41761388">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可控性原则：项目安排工作进度要跟上进度表的安排，保证工作的可控性。</w:t>
      </w:r>
    </w:p>
    <w:p w14:paraId="2F8F90A7">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最小影响原则：测评工作应尽可能小的影响系统和网络，并在可控范围内；测评工作不能对现有信息系统的正常运行、业务的正常开展产生任何影响。</w:t>
      </w:r>
    </w:p>
    <w:p w14:paraId="53AA39FB">
      <w:pPr>
        <w:pStyle w:val="14"/>
        <w:numPr>
          <w:ilvl w:val="0"/>
          <w:numId w:val="6"/>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整体性原则：测评的范围和内容应当整体全面，包括国家等级保护相关要求涉及的各个层面。</w:t>
      </w:r>
    </w:p>
    <w:p w14:paraId="6B8B37AF">
      <w:pPr>
        <w:pStyle w:val="14"/>
        <w:numPr>
          <w:ilvl w:val="0"/>
          <w:numId w:val="0"/>
        </w:numPr>
        <w:tabs>
          <w:tab w:val="left" w:pos="574"/>
        </w:tabs>
        <w:spacing w:before="1"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6.2.2</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实施方案</w:t>
      </w:r>
      <w:r>
        <w:rPr>
          <w:rFonts w:hint="eastAsia" w:ascii="仿宋_GB2312" w:hAnsi="仿宋_GB2312" w:eastAsia="仿宋_GB2312" w:cs="仿宋_GB2312"/>
          <w:b w:val="0"/>
          <w:bCs/>
          <w:sz w:val="24"/>
          <w:szCs w:val="24"/>
        </w:rPr>
        <w:t>要求</w:t>
      </w:r>
    </w:p>
    <w:p w14:paraId="32874E27">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投标人应详细描述本次信息系统安全等级保护测评的整体实施方案，包括项目概述、等级保护测评方案、测试过程中需使用测试设备清单、时间安排、阶段性文档提交等。</w:t>
      </w:r>
    </w:p>
    <w:p w14:paraId="7F078510">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投标人应详细描述测评人员的组成、资质。</w:t>
      </w:r>
    </w:p>
    <w:p w14:paraId="6F2217B8">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color w:val="333333"/>
          <w:sz w:val="24"/>
          <w:szCs w:val="24"/>
          <w:lang w:eastAsia="zh-CN"/>
        </w:rPr>
        <w:t>测评人员不少于4人</w:t>
      </w:r>
      <w:r>
        <w:rPr>
          <w:rFonts w:hint="eastAsia" w:ascii="仿宋_GB2312" w:hAnsi="仿宋_GB2312" w:eastAsia="仿宋_GB2312" w:cs="仿宋_GB2312"/>
          <w:b w:val="0"/>
          <w:bCs/>
          <w:sz w:val="24"/>
          <w:szCs w:val="24"/>
          <w:lang w:eastAsia="zh-CN"/>
        </w:rPr>
        <w:t>。</w:t>
      </w:r>
    </w:p>
    <w:p w14:paraId="701126ED">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信息系统安全等级保护测评需要的运行环境（如场地、网络环境等）由招标人提供，投标人应详细描述需要的运行环境的具体要求。</w:t>
      </w:r>
    </w:p>
    <w:p w14:paraId="46185E14">
      <w:pPr>
        <w:pStyle w:val="14"/>
        <w:numPr>
          <w:ilvl w:val="0"/>
          <w:numId w:val="7"/>
        </w:numPr>
        <w:tabs>
          <w:tab w:val="left" w:pos="0"/>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投标人应提供本次信息系统安全等级保护的整体实施方案，包括项目时间安排、阶段性文档提交等，并负责实施</w:t>
      </w:r>
      <w:r>
        <w:rPr>
          <w:rFonts w:hint="eastAsia" w:ascii="仿宋_GB2312" w:hAnsi="仿宋_GB2312" w:eastAsia="仿宋_GB2312" w:cs="仿宋_GB2312"/>
          <w:b w:val="0"/>
          <w:bCs/>
          <w:sz w:val="24"/>
          <w:szCs w:val="24"/>
          <w:lang w:val="en-US" w:eastAsia="zh-CN"/>
        </w:rPr>
        <w:t>等级保护测评</w:t>
      </w:r>
      <w:r>
        <w:rPr>
          <w:rFonts w:hint="eastAsia" w:ascii="仿宋_GB2312" w:hAnsi="仿宋_GB2312" w:eastAsia="仿宋_GB2312" w:cs="仿宋_GB2312"/>
          <w:b w:val="0"/>
          <w:bCs/>
          <w:sz w:val="24"/>
          <w:szCs w:val="24"/>
          <w:lang w:eastAsia="zh-CN"/>
        </w:rPr>
        <w:t>整改</w:t>
      </w:r>
      <w:r>
        <w:rPr>
          <w:rFonts w:hint="eastAsia" w:ascii="仿宋_GB2312" w:hAnsi="仿宋_GB2312" w:eastAsia="仿宋_GB2312" w:cs="仿宋_GB2312"/>
          <w:b w:val="0"/>
          <w:bCs/>
          <w:sz w:val="24"/>
          <w:szCs w:val="24"/>
          <w:lang w:val="en-US" w:eastAsia="zh-CN"/>
        </w:rPr>
        <w:t>技术指导支持</w:t>
      </w:r>
      <w:r>
        <w:rPr>
          <w:rFonts w:hint="eastAsia" w:ascii="仿宋_GB2312" w:hAnsi="仿宋_GB2312" w:eastAsia="仿宋_GB2312" w:cs="仿宋_GB2312"/>
          <w:b w:val="0"/>
          <w:bCs/>
          <w:sz w:val="24"/>
          <w:szCs w:val="24"/>
          <w:lang w:eastAsia="zh-CN"/>
        </w:rPr>
        <w:t>。</w:t>
      </w:r>
    </w:p>
    <w:p w14:paraId="777BD985">
      <w:pPr>
        <w:pStyle w:val="14"/>
        <w:numPr>
          <w:ilvl w:val="0"/>
          <w:numId w:val="0"/>
        </w:numPr>
        <w:tabs>
          <w:tab w:val="left" w:pos="574"/>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6.2.3</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专用工具要求</w:t>
      </w:r>
    </w:p>
    <w:p w14:paraId="2228D255">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本项目涉及工程实施和验收测试所需的工具，由投标方负责提供。</w:t>
      </w:r>
      <w:r>
        <w:rPr>
          <w:rFonts w:hint="eastAsia" w:ascii="仿宋_GB2312" w:hAnsi="仿宋_GB2312" w:eastAsia="仿宋_GB2312" w:cs="仿宋_GB2312"/>
          <w:b w:val="0"/>
          <w:bCs/>
          <w:sz w:val="24"/>
          <w:szCs w:val="24"/>
        </w:rPr>
        <w:t>供应商保证提供的服务工具不违反国家法律法规的规定，不侵犯任何第三方的专利、商标或版权。</w:t>
      </w:r>
      <w:r>
        <w:rPr>
          <w:rFonts w:hint="eastAsia" w:ascii="仿宋_GB2312" w:hAnsi="仿宋_GB2312" w:eastAsia="仿宋_GB2312" w:cs="仿宋_GB2312"/>
          <w:b w:val="0"/>
          <w:bCs/>
          <w:sz w:val="24"/>
          <w:szCs w:val="24"/>
          <w:lang w:eastAsia="zh-CN"/>
        </w:rPr>
        <w:t>用于测评的工具主要包括服务器安全测评工具、网络设备安全测评工具、终端计算机安全测评工具、网站等应用系统安全测评工具等。在使用前，应对工具进行测评，如果需要则对工具进行软件或代码升级。</w:t>
      </w:r>
    </w:p>
    <w:p w14:paraId="501566EA">
      <w:pPr>
        <w:pStyle w:val="14"/>
        <w:numPr>
          <w:ilvl w:val="0"/>
          <w:numId w:val="0"/>
        </w:numPr>
        <w:tabs>
          <w:tab w:val="left" w:pos="57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6.2.4</w:t>
      </w:r>
      <w:r>
        <w:rPr>
          <w:rFonts w:hint="eastAsia" w:ascii="仿宋_GB2312" w:hAnsi="仿宋_GB2312" w:eastAsia="仿宋_GB2312" w:cs="仿宋_GB2312"/>
          <w:b w:val="0"/>
          <w:bCs/>
          <w:sz w:val="24"/>
          <w:szCs w:val="24"/>
          <w:lang w:eastAsia="zh-CN"/>
        </w:rPr>
        <w:t>、安全管理要求</w:t>
      </w:r>
    </w:p>
    <w:p w14:paraId="27B7F0D6">
      <w:pPr>
        <w:numPr>
          <w:ilvl w:val="0"/>
          <w:numId w:val="0"/>
        </w:numPr>
        <w:tabs>
          <w:tab w:val="left" w:pos="360"/>
          <w:tab w:val="left" w:pos="81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为做好全过程的安全保密工作，在等级保护测评前、中、后三个阶段都要做好安全保密工作。</w:t>
      </w:r>
    </w:p>
    <w:p w14:paraId="7E9399DF">
      <w:pPr>
        <w:numPr>
          <w:ilvl w:val="0"/>
          <w:numId w:val="0"/>
        </w:numPr>
        <w:tabs>
          <w:tab w:val="left" w:pos="360"/>
          <w:tab w:val="left" w:pos="814"/>
        </w:tabs>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6.2.4.1</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等级保护测评前</w:t>
      </w:r>
    </w:p>
    <w:p w14:paraId="2EB8B5CE">
      <w:pPr>
        <w:pStyle w:val="14"/>
        <w:numPr>
          <w:ilvl w:val="-1"/>
          <w:numId w:val="0"/>
        </w:numPr>
        <w:tabs>
          <w:tab w:val="left" w:pos="989"/>
          <w:tab w:val="left" w:pos="990"/>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eastAsia="zh-CN"/>
        </w:rPr>
        <w:t>对等级保护测评人员要进行安全保密教育，制定安全保密措施；签订安全保密协议。</w:t>
      </w:r>
    </w:p>
    <w:p w14:paraId="2B3CDACB">
      <w:pPr>
        <w:pStyle w:val="14"/>
        <w:numPr>
          <w:ilvl w:val="-1"/>
          <w:numId w:val="0"/>
        </w:numPr>
        <w:tabs>
          <w:tab w:val="left" w:pos="989"/>
          <w:tab w:val="left" w:pos="990"/>
        </w:tabs>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6.2.4.2</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等级保护测评中</w:t>
      </w:r>
    </w:p>
    <w:p w14:paraId="09FBC9D2">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对被测单位的性质、机房物理位置、网络与系统、应用与服务、资料与数据、人员与管理等方面的信息进行严格的安全保密管理；</w:t>
      </w:r>
    </w:p>
    <w:p w14:paraId="66D19F31">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等级保护测评工具应经过严格测试和检验，确保不对被测评系统造成损失，工作结束后不驻留任何程序；</w:t>
      </w:r>
    </w:p>
    <w:p w14:paraId="391089AE">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对被测单位信息系统的信息资产、发现的脆弱性和发生过的安全事件等威胁情况要控制知情范围；</w:t>
      </w:r>
    </w:p>
    <w:p w14:paraId="47574F91">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对测评设备、介质进行严格的保密管理；</w:t>
      </w:r>
    </w:p>
    <w:p w14:paraId="0FD69944">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工作过程中对人员要实施封闭式集中管理；</w:t>
      </w:r>
    </w:p>
    <w:p w14:paraId="359E596C">
      <w:pPr>
        <w:pStyle w:val="14"/>
        <w:numPr>
          <w:ilvl w:val="0"/>
          <w:numId w:val="8"/>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对进场人员遵守被测单位的相关管理规定。</w:t>
      </w:r>
    </w:p>
    <w:p w14:paraId="467CC5CB">
      <w:pPr>
        <w:pStyle w:val="14"/>
        <w:numPr>
          <w:ilvl w:val="-1"/>
          <w:numId w:val="0"/>
        </w:numPr>
        <w:tabs>
          <w:tab w:val="left" w:pos="814"/>
        </w:tabs>
        <w:spacing w:before="1"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6.2.4.3</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等级保护测评后</w:t>
      </w:r>
    </w:p>
    <w:p w14:paraId="177F13F2">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认真清退各种文档、资料和数据并予以销毁，确保工作过程中敏感数据不被泄漏；</w:t>
      </w:r>
    </w:p>
    <w:p w14:paraId="2F1AEBF5">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现场工作结束后，按被测单位的要求及时还原系统，确保系统中不遗留任何代码或可执行程序；</w:t>
      </w:r>
    </w:p>
    <w:p w14:paraId="2BF6457D">
      <w:pPr>
        <w:pStyle w:val="14"/>
        <w:numPr>
          <w:ilvl w:val="0"/>
          <w:numId w:val="9"/>
        </w:numPr>
        <w:spacing w:after="157" w:afterLines="50" w:line="240" w:lineRule="auto"/>
        <w:ind w:left="0" w:leftChars="0" w:firstLine="0" w:firstLine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在其他风险测评任务或宣传材料中不涉及被测单位的秘密、敏感情况。</w:t>
      </w:r>
    </w:p>
    <w:p w14:paraId="35F3FC89">
      <w:pPr>
        <w:pStyle w:val="14"/>
        <w:numPr>
          <w:ilvl w:val="0"/>
          <w:numId w:val="0"/>
        </w:numPr>
        <w:tabs>
          <w:tab w:val="left" w:pos="574"/>
        </w:tabs>
        <w:spacing w:after="157" w:afterLines="50" w:line="240" w:lineRule="auto"/>
        <w:ind w:left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文档要求</w:t>
      </w:r>
    </w:p>
    <w:p w14:paraId="11B1482A">
      <w:pPr>
        <w:spacing w:after="157" w:afterLines="50" w:line="240" w:lineRule="auto"/>
        <w:ind w:left="0" w:leftChars="0" w:firstLine="0" w:firstLineChars="0"/>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6.2.4.1、网络安全等级保护测评差距分析和整改建议</w:t>
      </w:r>
    </w:p>
    <w:p w14:paraId="124B90E0">
      <w:pPr>
        <w:numPr>
          <w:ilvl w:val="-1"/>
          <w:numId w:val="0"/>
        </w:numPr>
        <w:spacing w:after="157" w:afterLines="50" w:line="240" w:lineRule="auto"/>
        <w:ind w:left="0" w:leftChars="0" w:firstLine="0" w:firstLineChars="0"/>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6.2.4.2、</w:t>
      </w:r>
      <w:r>
        <w:rPr>
          <w:rFonts w:hint="eastAsia" w:ascii="仿宋_GB2312" w:hAnsi="仿宋_GB2312" w:eastAsia="仿宋_GB2312" w:cs="仿宋_GB2312"/>
          <w:b w:val="0"/>
          <w:bCs/>
          <w:sz w:val="24"/>
          <w:szCs w:val="24"/>
        </w:rPr>
        <w:t>等级保护测评报告</w:t>
      </w:r>
    </w:p>
    <w:p w14:paraId="6B4D86C0">
      <w:pPr>
        <w:numPr>
          <w:ilvl w:val="-1"/>
          <w:numId w:val="0"/>
        </w:numPr>
        <w:spacing w:after="157" w:afterLines="50" w:line="240" w:lineRule="auto"/>
        <w:ind w:left="0" w:leftChars="0" w:firstLine="0" w:firstLineChars="0"/>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6.2.4.3、接收回执</w:t>
      </w:r>
    </w:p>
    <w:p w14:paraId="6D239938">
      <w:pPr>
        <w:numPr>
          <w:ilvl w:val="-1"/>
          <w:numId w:val="0"/>
        </w:numPr>
        <w:spacing w:after="157" w:afterLines="50" w:line="240" w:lineRule="auto"/>
        <w:ind w:left="0" w:leftChars="0" w:firstLine="0" w:firstLineChars="0"/>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6.2.4.4、</w:t>
      </w:r>
      <w:r>
        <w:rPr>
          <w:rFonts w:hint="eastAsia" w:ascii="仿宋_GB2312" w:hAnsi="仿宋_GB2312" w:eastAsia="仿宋_GB2312" w:cs="仿宋_GB2312"/>
          <w:color w:val="000000"/>
          <w:kern w:val="0"/>
          <w:sz w:val="24"/>
          <w:szCs w:val="24"/>
          <w:u w:val="single"/>
          <w:lang w:val="en-US" w:eastAsia="zh-CN"/>
        </w:rPr>
        <w:t>网络安全等级保护备案证明（针对新业务）</w:t>
      </w:r>
    </w:p>
    <w:p w14:paraId="33B254D0">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文档或报告的编写应完整清晰</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用词规范</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简明扼要</w:t>
      </w:r>
      <w:r>
        <w:rPr>
          <w:rFonts w:hint="eastAsia" w:ascii="仿宋_GB2312" w:hAnsi="仿宋_GB2312" w:eastAsia="仿宋_GB2312" w:cs="仿宋_GB2312"/>
          <w:b w:val="0"/>
          <w:bCs/>
          <w:spacing w:val="-51"/>
          <w:sz w:val="24"/>
          <w:szCs w:val="24"/>
          <w:lang w:eastAsia="zh-CN"/>
        </w:rPr>
        <w:t>，</w:t>
      </w:r>
      <w:r>
        <w:rPr>
          <w:rFonts w:hint="eastAsia" w:ascii="仿宋_GB2312" w:hAnsi="仿宋_GB2312" w:eastAsia="仿宋_GB2312" w:cs="仿宋_GB2312"/>
          <w:b w:val="0"/>
          <w:bCs/>
          <w:sz w:val="24"/>
          <w:szCs w:val="24"/>
          <w:lang w:eastAsia="zh-CN"/>
        </w:rPr>
        <w:t>指出的问题应明确合理、</w:t>
      </w:r>
      <w:r>
        <w:rPr>
          <w:rFonts w:hint="eastAsia" w:ascii="仿宋_GB2312" w:hAnsi="仿宋_GB2312" w:eastAsia="仿宋_GB2312" w:cs="仿宋_GB2312"/>
          <w:b w:val="0"/>
          <w:bCs/>
          <w:spacing w:val="2"/>
          <w:sz w:val="24"/>
          <w:szCs w:val="24"/>
          <w:lang w:eastAsia="zh-CN"/>
        </w:rPr>
        <w:t>符合逻辑、且有证据</w:t>
      </w:r>
      <w:r>
        <w:rPr>
          <w:rFonts w:hint="eastAsia" w:ascii="仿宋_GB2312" w:hAnsi="仿宋_GB2312" w:eastAsia="仿宋_GB2312" w:cs="仿宋_GB2312"/>
          <w:b w:val="0"/>
          <w:bCs/>
          <w:spacing w:val="4"/>
          <w:sz w:val="24"/>
          <w:szCs w:val="24"/>
          <w:lang w:eastAsia="zh-CN"/>
        </w:rPr>
        <w:t>，</w:t>
      </w:r>
      <w:r>
        <w:rPr>
          <w:rFonts w:hint="eastAsia" w:ascii="仿宋_GB2312" w:hAnsi="仿宋_GB2312" w:eastAsia="仿宋_GB2312" w:cs="仿宋_GB2312"/>
          <w:b w:val="0"/>
          <w:bCs/>
          <w:spacing w:val="2"/>
          <w:sz w:val="24"/>
          <w:szCs w:val="24"/>
          <w:lang w:eastAsia="zh-CN"/>
        </w:rPr>
        <w:t>出具的结论应公正客</w:t>
      </w:r>
      <w:r>
        <w:rPr>
          <w:rFonts w:hint="eastAsia" w:ascii="仿宋_GB2312" w:hAnsi="仿宋_GB2312" w:eastAsia="仿宋_GB2312" w:cs="仿宋_GB2312"/>
          <w:b w:val="0"/>
          <w:bCs/>
          <w:spacing w:val="4"/>
          <w:sz w:val="24"/>
          <w:szCs w:val="24"/>
          <w:lang w:eastAsia="zh-CN"/>
        </w:rPr>
        <w:t>观</w:t>
      </w:r>
      <w:r>
        <w:rPr>
          <w:rFonts w:hint="eastAsia" w:ascii="仿宋_GB2312" w:hAnsi="仿宋_GB2312" w:eastAsia="仿宋_GB2312" w:cs="仿宋_GB2312"/>
          <w:b w:val="0"/>
          <w:bCs/>
          <w:spacing w:val="2"/>
          <w:sz w:val="24"/>
          <w:szCs w:val="24"/>
          <w:lang w:eastAsia="zh-CN"/>
        </w:rPr>
        <w:t>、实事求是，提出的</w:t>
      </w:r>
      <w:r>
        <w:rPr>
          <w:rFonts w:hint="eastAsia" w:ascii="仿宋_GB2312" w:hAnsi="仿宋_GB2312" w:eastAsia="仿宋_GB2312" w:cs="仿宋_GB2312"/>
          <w:b w:val="0"/>
          <w:bCs/>
          <w:spacing w:val="4"/>
          <w:sz w:val="24"/>
          <w:szCs w:val="24"/>
          <w:lang w:eastAsia="zh-CN"/>
        </w:rPr>
        <w:t>建</w:t>
      </w:r>
      <w:r>
        <w:rPr>
          <w:rFonts w:hint="eastAsia" w:ascii="仿宋_GB2312" w:hAnsi="仿宋_GB2312" w:eastAsia="仿宋_GB2312" w:cs="仿宋_GB2312"/>
          <w:b w:val="0"/>
          <w:bCs/>
          <w:spacing w:val="2"/>
          <w:sz w:val="24"/>
          <w:szCs w:val="24"/>
          <w:lang w:eastAsia="zh-CN"/>
        </w:rPr>
        <w:t>议应符合国家</w:t>
      </w:r>
      <w:r>
        <w:rPr>
          <w:rFonts w:hint="eastAsia" w:ascii="仿宋_GB2312" w:hAnsi="仿宋_GB2312" w:eastAsia="仿宋_GB2312" w:cs="仿宋_GB2312"/>
          <w:b w:val="0"/>
          <w:bCs/>
          <w:sz w:val="24"/>
          <w:szCs w:val="24"/>
          <w:lang w:eastAsia="zh-CN"/>
        </w:rPr>
        <w:t>标准规范、富有建设性和可操作性。</w:t>
      </w:r>
    </w:p>
    <w:p w14:paraId="01F3EBEF">
      <w:pPr>
        <w:pStyle w:val="14"/>
        <w:numPr>
          <w:ilvl w:val="0"/>
          <w:numId w:val="0"/>
        </w:numPr>
        <w:tabs>
          <w:tab w:val="left" w:pos="574"/>
        </w:tabs>
        <w:spacing w:before="26" w:after="157" w:afterLines="50" w:line="240" w:lineRule="auto"/>
        <w:ind w:left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6.2.5</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项目成员</w:t>
      </w:r>
      <w:r>
        <w:rPr>
          <w:rFonts w:hint="eastAsia" w:ascii="仿宋_GB2312" w:hAnsi="仿宋_GB2312" w:eastAsia="仿宋_GB2312" w:cs="仿宋_GB2312"/>
          <w:b w:val="0"/>
          <w:bCs/>
          <w:sz w:val="24"/>
          <w:szCs w:val="24"/>
          <w:lang w:eastAsia="zh-CN"/>
        </w:rPr>
        <w:t>要求</w:t>
      </w:r>
    </w:p>
    <w:p w14:paraId="5D3E3D90">
      <w:pPr>
        <w:spacing w:after="157" w:afterLines="50" w:line="240" w:lineRule="auto"/>
        <w:ind w:left="0" w:leftChars="0" w:firstLine="0" w:firstLineChars="0"/>
        <w:jc w:val="both"/>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eastAsia="zh-CN"/>
        </w:rPr>
        <w:t>投标方应提供测评成员的技术背景资历资料、从事测评的经验、人力资源的组织方式、项目成员的角色和责任，</w:t>
      </w:r>
      <w:r>
        <w:rPr>
          <w:rFonts w:hint="eastAsia" w:ascii="仿宋_GB2312" w:hAnsi="仿宋_GB2312" w:eastAsia="仿宋_GB2312" w:cs="仿宋_GB2312"/>
          <w:b w:val="0"/>
          <w:bCs/>
          <w:color w:val="333333"/>
          <w:sz w:val="24"/>
          <w:szCs w:val="24"/>
          <w:lang w:val="en-US" w:eastAsia="zh-CN"/>
        </w:rPr>
        <w:t>其中等级保护测评人员要求</w:t>
      </w:r>
      <w:r>
        <w:rPr>
          <w:rFonts w:hint="eastAsia" w:ascii="仿宋_GB2312" w:hAnsi="仿宋_GB2312" w:eastAsia="仿宋_GB2312" w:cs="仿宋_GB2312"/>
          <w:b w:val="0"/>
          <w:bCs/>
          <w:color w:val="333333"/>
          <w:sz w:val="24"/>
          <w:szCs w:val="24"/>
          <w:lang w:eastAsia="zh-CN"/>
        </w:rPr>
        <w:t>须提供</w:t>
      </w:r>
      <w:r>
        <w:rPr>
          <w:rFonts w:hint="eastAsia" w:ascii="仿宋_GB2312" w:hAnsi="仿宋_GB2312" w:eastAsia="仿宋_GB2312" w:cs="仿宋_GB2312"/>
          <w:b w:val="0"/>
          <w:bCs/>
          <w:color w:val="333333"/>
          <w:sz w:val="24"/>
          <w:szCs w:val="24"/>
          <w:lang w:val="en-US" w:eastAsia="zh-CN"/>
        </w:rPr>
        <w:t>中关村信息安全测评联盟颁发的</w:t>
      </w:r>
      <w:r>
        <w:rPr>
          <w:rFonts w:hint="eastAsia" w:ascii="仿宋_GB2312" w:hAnsi="仿宋_GB2312" w:eastAsia="仿宋_GB2312" w:cs="仿宋_GB2312"/>
          <w:b w:val="0"/>
          <w:bCs/>
          <w:color w:val="333333"/>
          <w:sz w:val="24"/>
          <w:szCs w:val="24"/>
          <w:lang w:eastAsia="zh-CN"/>
        </w:rPr>
        <w:t>“</w:t>
      </w:r>
      <w:r>
        <w:rPr>
          <w:rFonts w:hint="eastAsia" w:ascii="仿宋_GB2312" w:hAnsi="仿宋_GB2312" w:eastAsia="仿宋_GB2312" w:cs="仿宋_GB2312"/>
          <w:b w:val="0"/>
          <w:bCs/>
          <w:color w:val="333333"/>
          <w:sz w:val="24"/>
          <w:szCs w:val="24"/>
          <w:lang w:val="en-US" w:eastAsia="zh-CN"/>
        </w:rPr>
        <w:t>信息安全等级测评师证书”</w:t>
      </w:r>
      <w:r>
        <w:rPr>
          <w:rFonts w:hint="eastAsia" w:ascii="仿宋_GB2312" w:hAnsi="仿宋_GB2312" w:eastAsia="仿宋_GB2312" w:cs="仿宋_GB2312"/>
          <w:b w:val="0"/>
          <w:bCs/>
          <w:sz w:val="24"/>
          <w:szCs w:val="24"/>
          <w:lang w:eastAsia="zh-CN"/>
        </w:rPr>
        <w:t>。</w:t>
      </w:r>
    </w:p>
    <w:p w14:paraId="0F9CA9B2">
      <w:pPr>
        <w:pStyle w:val="14"/>
        <w:numPr>
          <w:ilvl w:val="0"/>
          <w:numId w:val="0"/>
        </w:numPr>
        <w:tabs>
          <w:tab w:val="left" w:pos="574"/>
        </w:tabs>
        <w:spacing w:before="26" w:after="157" w:afterLines="50" w:line="240" w:lineRule="auto"/>
        <w:ind w:leftChars="0"/>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6.2.6</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lang w:val="en-US" w:eastAsia="zh-CN"/>
        </w:rPr>
        <w:t>其它要求</w:t>
      </w:r>
    </w:p>
    <w:p w14:paraId="5571549D">
      <w:pPr>
        <w:pStyle w:val="14"/>
        <w:numPr>
          <w:ilvl w:val="0"/>
          <w:numId w:val="0"/>
        </w:numPr>
        <w:tabs>
          <w:tab w:val="left" w:pos="0"/>
        </w:tabs>
        <w:spacing w:after="157" w:afterLines="50" w:line="240" w:lineRule="auto"/>
        <w:ind w:leftChars="0"/>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6.2.6.1、</w:t>
      </w:r>
      <w:r>
        <w:rPr>
          <w:rFonts w:hint="eastAsia" w:ascii="仿宋_GB2312" w:hAnsi="仿宋_GB2312" w:eastAsia="仿宋_GB2312" w:cs="仿宋_GB2312"/>
          <w:b w:val="0"/>
          <w:bCs/>
          <w:sz w:val="24"/>
          <w:szCs w:val="24"/>
          <w:lang w:eastAsia="zh-CN"/>
        </w:rPr>
        <w:t>投标人应</w:t>
      </w:r>
      <w:r>
        <w:rPr>
          <w:rFonts w:hint="eastAsia" w:ascii="仿宋_GB2312" w:hAnsi="仿宋_GB2312" w:eastAsia="仿宋_GB2312" w:cs="仿宋_GB2312"/>
          <w:b w:val="0"/>
          <w:bCs/>
          <w:sz w:val="24"/>
          <w:szCs w:val="24"/>
          <w:lang w:val="en-US" w:eastAsia="zh-CN"/>
        </w:rPr>
        <w:t>按结合公安部网安局发布公网安〔2025〕1846号文件最新标准要求协助</w:t>
      </w:r>
      <w:r>
        <w:rPr>
          <w:rFonts w:hint="eastAsia" w:ascii="仿宋_GB2312" w:hAnsi="仿宋_GB2312" w:eastAsia="仿宋_GB2312" w:cs="仿宋_GB2312"/>
          <w:b w:val="0"/>
          <w:bCs/>
          <w:sz w:val="24"/>
          <w:szCs w:val="24"/>
          <w:lang w:eastAsia="zh-CN"/>
        </w:rPr>
        <w:t>完成</w:t>
      </w:r>
      <w:r>
        <w:rPr>
          <w:rFonts w:hint="eastAsia" w:ascii="仿宋_GB2312" w:hAnsi="仿宋_GB2312" w:eastAsia="仿宋_GB2312" w:cs="仿宋_GB2312"/>
          <w:b w:val="0"/>
          <w:bCs/>
          <w:sz w:val="24"/>
          <w:szCs w:val="24"/>
          <w:lang w:val="en-US" w:eastAsia="zh-CN"/>
        </w:rPr>
        <w:t>新建</w:t>
      </w:r>
      <w:commentRangeStart w:id="0"/>
      <w:r>
        <w:rPr>
          <w:rFonts w:hint="eastAsia" w:ascii="仿宋_GB2312" w:hAnsi="仿宋_GB2312" w:eastAsia="仿宋_GB2312" w:cs="仿宋_GB2312"/>
          <w:b w:val="0"/>
          <w:bCs/>
          <w:sz w:val="24"/>
          <w:szCs w:val="24"/>
          <w:lang w:val="en-US" w:eastAsia="zh-CN"/>
        </w:rPr>
        <w:t>SP</w:t>
      </w:r>
      <w:commentRangeEnd w:id="0"/>
      <w:r>
        <w:rPr>
          <w:sz w:val="24"/>
        </w:rPr>
        <w:commentReference w:id="0"/>
      </w:r>
      <w:r>
        <w:rPr>
          <w:rFonts w:hint="eastAsia" w:ascii="仿宋_GB2312" w:hAnsi="仿宋_GB2312" w:eastAsia="仿宋_GB2312" w:cs="仿宋_GB2312"/>
          <w:b w:val="0"/>
          <w:bCs/>
          <w:sz w:val="24"/>
          <w:szCs w:val="24"/>
          <w:lang w:val="en-US" w:eastAsia="zh-CN"/>
        </w:rPr>
        <w:t>D、OA</w:t>
      </w:r>
      <w:r>
        <w:rPr>
          <w:rFonts w:hint="eastAsia" w:ascii="仿宋_GB2312" w:hAnsi="仿宋_GB2312" w:eastAsia="仿宋_GB2312" w:cs="仿宋_GB2312"/>
          <w:b w:val="0"/>
          <w:bCs/>
          <w:sz w:val="24"/>
          <w:szCs w:val="24"/>
          <w:lang w:eastAsia="zh-CN"/>
        </w:rPr>
        <w:t>系统</w:t>
      </w:r>
      <w:r>
        <w:rPr>
          <w:rFonts w:hint="eastAsia" w:ascii="仿宋_GB2312" w:hAnsi="仿宋_GB2312" w:eastAsia="仿宋_GB2312" w:cs="仿宋_GB2312"/>
          <w:b w:val="0"/>
          <w:bCs/>
          <w:sz w:val="24"/>
          <w:szCs w:val="24"/>
        </w:rPr>
        <w:t>等级保护</w:t>
      </w:r>
      <w:r>
        <w:rPr>
          <w:rFonts w:hint="eastAsia" w:ascii="仿宋_GB2312" w:hAnsi="仿宋_GB2312" w:eastAsia="仿宋_GB2312" w:cs="仿宋_GB2312"/>
          <w:b w:val="0"/>
          <w:bCs/>
          <w:sz w:val="24"/>
          <w:szCs w:val="24"/>
          <w:lang w:val="en-US" w:eastAsia="zh-CN"/>
        </w:rPr>
        <w:t>定级备案</w:t>
      </w:r>
      <w:r>
        <w:rPr>
          <w:rFonts w:hint="eastAsia" w:ascii="仿宋_GB2312" w:hAnsi="仿宋_GB2312" w:eastAsia="仿宋_GB2312" w:cs="仿宋_GB2312"/>
          <w:b w:val="0"/>
          <w:bCs/>
          <w:sz w:val="24"/>
          <w:szCs w:val="24"/>
          <w:lang w:eastAsia="zh-CN"/>
        </w:rPr>
        <w:t>工作。</w:t>
      </w:r>
    </w:p>
    <w:p w14:paraId="35AC11FC">
      <w:pPr>
        <w:numPr>
          <w:ilvl w:val="0"/>
          <w:numId w:val="0"/>
        </w:numPr>
        <w:ind w:leftChars="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6.3、</w:t>
      </w:r>
      <w:r>
        <w:rPr>
          <w:rFonts w:hint="eastAsia" w:ascii="仿宋_GB2312" w:hAnsi="仿宋_GB2312" w:eastAsia="仿宋_GB2312" w:cs="仿宋_GB2312"/>
          <w:sz w:val="24"/>
          <w:szCs w:val="24"/>
        </w:rPr>
        <w:t>商务要求：</w:t>
      </w:r>
    </w:p>
    <w:p w14:paraId="087E968F">
      <w:pPr>
        <w:numPr>
          <w:ilvl w:val="0"/>
          <w:numId w:val="10"/>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交</w:t>
      </w:r>
      <w:r>
        <w:rPr>
          <w:rFonts w:hint="eastAsia" w:ascii="仿宋_GB2312" w:hAnsi="仿宋_GB2312" w:eastAsia="仿宋_GB2312" w:cs="仿宋_GB2312"/>
          <w:sz w:val="24"/>
          <w:szCs w:val="24"/>
          <w:lang w:val="en-US" w:eastAsia="zh-CN"/>
        </w:rPr>
        <w:t>货期/工期/服务期（天）</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自合同签定日起90天</w:t>
      </w:r>
      <w:r>
        <w:rPr>
          <w:rFonts w:hint="eastAsia" w:ascii="仿宋_GB2312" w:hAnsi="仿宋_GB2312" w:eastAsia="仿宋_GB2312" w:cs="仿宋_GB2312"/>
          <w:sz w:val="24"/>
          <w:szCs w:val="24"/>
        </w:rPr>
        <w:t>。</w:t>
      </w:r>
    </w:p>
    <w:p w14:paraId="3AE5A5F9">
      <w:pPr>
        <w:numPr>
          <w:ilvl w:val="0"/>
          <w:numId w:val="10"/>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地点：</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深圳市南山区招商街道蛇口工业七路128号</w:t>
      </w:r>
      <w:r>
        <w:rPr>
          <w:rFonts w:hint="eastAsia" w:ascii="仿宋_GB2312" w:hAnsi="仿宋_GB2312" w:eastAsia="仿宋_GB2312" w:cs="仿宋_GB2312"/>
          <w:sz w:val="24"/>
          <w:szCs w:val="24"/>
          <w:u w:val="single"/>
        </w:rPr>
        <w:t xml:space="preserve">深圳市前海蛇口自贸区医院       </w:t>
      </w:r>
      <w:r>
        <w:rPr>
          <w:rFonts w:hint="eastAsia" w:ascii="仿宋_GB2312" w:hAnsi="仿宋_GB2312" w:eastAsia="仿宋_GB2312" w:cs="仿宋_GB2312"/>
          <w:sz w:val="24"/>
          <w:szCs w:val="24"/>
        </w:rPr>
        <w:t>。</w:t>
      </w:r>
    </w:p>
    <w:p w14:paraId="0B583B08">
      <w:pPr>
        <w:numPr>
          <w:ilvl w:val="0"/>
          <w:numId w:val="10"/>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付款进度和方式：</w:t>
      </w:r>
    </w:p>
    <w:p w14:paraId="74D2835C">
      <w:pPr>
        <w:spacing w:after="157" w:afterLines="50" w:line="240"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付款方式：服务费分二期支付。</w:t>
      </w:r>
    </w:p>
    <w:p w14:paraId="065966AE">
      <w:pPr>
        <w:spacing w:after="157" w:afterLines="50" w:line="240"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第一期，采购方在合同签订后并收到中标供应商合法的正式发票后向中标供应商支付合同总金额50%；</w:t>
      </w:r>
    </w:p>
    <w:p w14:paraId="0F6D8AC4">
      <w:pPr>
        <w:spacing w:after="157" w:afterLines="50" w:line="240"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第二期，中标供应商在按甲方要求完成所有项目，提交给采购方相应的书面等级保护测评报告、</w:t>
      </w:r>
      <w:r>
        <w:rPr>
          <w:rFonts w:hint="eastAsia" w:ascii="仿宋_GB2312" w:hAnsi="仿宋_GB2312" w:eastAsia="仿宋_GB2312" w:cs="仿宋_GB2312"/>
          <w:color w:val="000000"/>
          <w:kern w:val="0"/>
          <w:sz w:val="24"/>
          <w:szCs w:val="24"/>
          <w:u w:val="single"/>
          <w:lang w:val="en-US" w:eastAsia="zh-CN"/>
        </w:rPr>
        <w:t>接收回执</w:t>
      </w:r>
      <w:r>
        <w:rPr>
          <w:rFonts w:hint="eastAsia" w:ascii="仿宋_GB2312" w:hAnsi="仿宋_GB2312" w:eastAsia="仿宋_GB2312" w:cs="仿宋_GB2312"/>
          <w:sz w:val="24"/>
          <w:szCs w:val="24"/>
          <w:u w:val="single"/>
          <w:lang w:eastAsia="zh-CN"/>
        </w:rPr>
        <w:t>、</w:t>
      </w:r>
      <w:r>
        <w:rPr>
          <w:rFonts w:hint="eastAsia" w:ascii="仿宋_GB2312" w:hAnsi="仿宋_GB2312" w:eastAsia="仿宋_GB2312" w:cs="仿宋_GB2312"/>
          <w:color w:val="000000"/>
          <w:kern w:val="0"/>
          <w:sz w:val="24"/>
          <w:szCs w:val="24"/>
          <w:u w:val="single"/>
          <w:lang w:val="en-US" w:eastAsia="zh-CN"/>
        </w:rPr>
        <w:t>网络安全等级保护备案证明(针对新业务)</w:t>
      </w:r>
      <w:r>
        <w:rPr>
          <w:rFonts w:hint="eastAsia" w:ascii="仿宋_GB2312" w:hAnsi="仿宋_GB2312" w:eastAsia="仿宋_GB2312" w:cs="仿宋_GB2312"/>
          <w:sz w:val="24"/>
          <w:szCs w:val="24"/>
          <w:u w:val="single"/>
        </w:rPr>
        <w:t>并验收合格后，采购方在收到中标供应商合法的正式发票后向中标供应商支付同总金额50%。</w:t>
      </w:r>
    </w:p>
    <w:p w14:paraId="00D07DD8">
      <w:pPr>
        <w:spacing w:after="157" w:afterLines="50" w:line="240" w:lineRule="auto"/>
        <w:ind w:firstLine="480" w:firstLineChars="200"/>
        <w:rPr>
          <w:rFonts w:hint="eastAsia"/>
          <w:sz w:val="24"/>
          <w:szCs w:val="24"/>
          <w:u w:val="single"/>
        </w:rPr>
      </w:pPr>
      <w:r>
        <w:rPr>
          <w:rFonts w:hint="eastAsia" w:ascii="仿宋_GB2312" w:hAnsi="仿宋_GB2312" w:eastAsia="仿宋_GB2312" w:cs="仿宋_GB2312"/>
          <w:sz w:val="24"/>
          <w:szCs w:val="24"/>
          <w:u w:val="single"/>
        </w:rPr>
        <w:t>如付款方式与深圳市南山区财政局相关规定有冲突，以深圳市南山区财政局相关规定为准。</w:t>
      </w:r>
    </w:p>
    <w:p w14:paraId="6FDB7423">
      <w:pPr>
        <w:pStyle w:val="3"/>
        <w:numPr>
          <w:ilvl w:val="0"/>
          <w:numId w:val="0"/>
        </w:numPr>
        <w:spacing w:before="0" w:after="0" w:line="240" w:lineRule="auto"/>
        <w:rPr>
          <w:rFonts w:hint="eastAsia" w:ascii="仿宋" w:hAnsi="仿宋" w:eastAsia="仿宋"/>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七</w:t>
      </w:r>
      <w:r>
        <w:rPr>
          <w:rFonts w:hint="eastAsia" w:ascii="仿宋_GB2312" w:hAnsi="仿宋_GB2312" w:eastAsia="仿宋_GB2312" w:cs="仿宋_GB2312"/>
          <w:b/>
          <w:bCs/>
          <w:sz w:val="24"/>
          <w:szCs w:val="24"/>
          <w:lang w:eastAsia="zh-CN"/>
        </w:rPr>
        <w:t>）</w:t>
      </w:r>
      <w:r>
        <w:rPr>
          <w:rFonts w:hint="eastAsia" w:ascii="仿宋" w:hAnsi="仿宋" w:eastAsia="仿宋"/>
          <w:sz w:val="24"/>
          <w:szCs w:val="24"/>
        </w:rPr>
        <w:t>评审规则</w:t>
      </w:r>
      <w:r>
        <w:rPr>
          <w:rFonts w:hint="eastAsia" w:ascii="仿宋" w:hAnsi="仿宋" w:eastAsia="仿宋"/>
          <w:sz w:val="24"/>
          <w:szCs w:val="24"/>
          <w:lang w:eastAsia="zh-CN"/>
        </w:rPr>
        <w:t>：</w:t>
      </w:r>
    </w:p>
    <w:p w14:paraId="08BC1A3F">
      <w:pPr>
        <w:adjustRightInd w:val="0"/>
        <w:snapToGrid w:val="0"/>
        <w:jc w:val="left"/>
        <w:rPr>
          <w:rFonts w:hint="eastAsia" w:ascii="仿宋" w:hAnsi="仿宋" w:eastAsia="仿宋"/>
          <w:sz w:val="24"/>
          <w:szCs w:val="24"/>
        </w:rPr>
      </w:pPr>
      <w:r>
        <w:rPr>
          <w:rFonts w:hint="eastAsia" w:ascii="仿宋" w:hAnsi="仿宋" w:eastAsia="仿宋"/>
          <w:sz w:val="24"/>
          <w:szCs w:val="24"/>
          <w:lang w:val="en-US" w:eastAsia="zh-CN"/>
        </w:rPr>
        <w:t>1.</w:t>
      </w:r>
      <w:r>
        <w:rPr>
          <w:rFonts w:hint="eastAsia" w:ascii="仿宋" w:hAnsi="仿宋" w:eastAsia="仿宋"/>
          <w:sz w:val="24"/>
          <w:szCs w:val="24"/>
        </w:rPr>
        <w:t>评标方法：最低评标价法</w:t>
      </w:r>
    </w:p>
    <w:p w14:paraId="73B02A3B">
      <w:pPr>
        <w:adjustRightInd w:val="0"/>
        <w:snapToGrid w:val="0"/>
        <w:jc w:val="left"/>
        <w:rPr>
          <w:rFonts w:hint="eastAsia"/>
          <w:sz w:val="24"/>
          <w:szCs w:val="24"/>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森" w:date="2026-09-30T15:28:58Z" w:initials="">
    <w:p w14:paraId="46C7654A">
      <w:pPr>
        <w:pStyle w:val="4"/>
        <w:rPr>
          <w:rFonts w:hint="eastAsia" w:eastAsiaTheme="minorEastAsia"/>
          <w:lang w:val="en-US" w:eastAsia="zh-CN"/>
        </w:rPr>
      </w:pPr>
      <w:r>
        <w:rPr>
          <w:rFonts w:hint="eastAsia"/>
          <w:lang w:val="en-US" w:eastAsia="zh-CN"/>
        </w:rPr>
        <w:t>改为SPD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6C7654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109758"/>
    </w:sdtPr>
    <w:sdtContent>
      <w:p w14:paraId="104E744A">
        <w:pPr>
          <w:pStyle w:val="5"/>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3C5F">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67903EB"/>
    <w:multiLevelType w:val="singleLevel"/>
    <w:tmpl w:val="A67903EB"/>
    <w:lvl w:ilvl="0" w:tentative="0">
      <w:start w:val="3"/>
      <w:numFmt w:val="chineseCounting"/>
      <w:suff w:val="nothing"/>
      <w:lvlText w:val="（%1）"/>
      <w:lvlJc w:val="left"/>
      <w:rPr>
        <w:rFonts w:hint="eastAsia"/>
        <w:b/>
        <w:bCs/>
      </w:rPr>
    </w:lvl>
  </w:abstractNum>
  <w:abstractNum w:abstractNumId="2">
    <w:nsid w:val="EC737CDF"/>
    <w:multiLevelType w:val="singleLevel"/>
    <w:tmpl w:val="EC737CDF"/>
    <w:lvl w:ilvl="0" w:tentative="0">
      <w:start w:val="1"/>
      <w:numFmt w:val="decimal"/>
      <w:lvlText w:val="(%1)"/>
      <w:lvlJc w:val="left"/>
      <w:pPr>
        <w:ind w:left="425" w:hanging="425"/>
      </w:pPr>
      <w:rPr>
        <w:rFonts w:hint="default"/>
      </w:rPr>
    </w:lvl>
  </w:abstractNum>
  <w:abstractNum w:abstractNumId="3">
    <w:nsid w:val="00000000"/>
    <w:multiLevelType w:val="singleLevel"/>
    <w:tmpl w:val="00000000"/>
    <w:lvl w:ilvl="0" w:tentative="0">
      <w:start w:val="1"/>
      <w:numFmt w:val="decimal"/>
      <w:lvlText w:val="(%1)"/>
      <w:lvlJc w:val="left"/>
      <w:pPr>
        <w:ind w:left="425" w:hanging="425"/>
      </w:pPr>
      <w:rPr>
        <w:rFonts w:hint="default"/>
      </w:rPr>
    </w:lvl>
  </w:abstractNum>
  <w:abstractNum w:abstractNumId="4">
    <w:nsid w:val="00000001"/>
    <w:multiLevelType w:val="singleLevel"/>
    <w:tmpl w:val="00000001"/>
    <w:lvl w:ilvl="0" w:tentative="0">
      <w:start w:val="1"/>
      <w:numFmt w:val="decimal"/>
      <w:lvlText w:val="(%1)"/>
      <w:lvlJc w:val="left"/>
      <w:pPr>
        <w:ind w:left="425" w:hanging="425"/>
      </w:pPr>
      <w:rPr>
        <w:rFonts w:hint="default"/>
      </w:rPr>
    </w:lvl>
  </w:abstractNum>
  <w:abstractNum w:abstractNumId="5">
    <w:nsid w:val="035A8C2E"/>
    <w:multiLevelType w:val="singleLevel"/>
    <w:tmpl w:val="035A8C2E"/>
    <w:lvl w:ilvl="0" w:tentative="0">
      <w:start w:val="1"/>
      <w:numFmt w:val="decimal"/>
      <w:lvlText w:val="(%1)"/>
      <w:lvlJc w:val="left"/>
      <w:pPr>
        <w:ind w:left="425" w:hanging="425"/>
      </w:pPr>
      <w:rPr>
        <w:rFonts w:hint="default"/>
      </w:rPr>
    </w:lvl>
  </w:abstractNum>
  <w:abstractNum w:abstractNumId="6">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57C17F6"/>
    <w:multiLevelType w:val="singleLevel"/>
    <w:tmpl w:val="457C17F6"/>
    <w:lvl w:ilvl="0" w:tentative="0">
      <w:start w:val="1"/>
      <w:numFmt w:val="decimal"/>
      <w:lvlText w:val="(%1)"/>
      <w:lvlJc w:val="left"/>
      <w:pPr>
        <w:ind w:left="425" w:hanging="425"/>
      </w:pPr>
      <w:rPr>
        <w:rFonts w:hint="default"/>
      </w:rPr>
    </w:lvl>
  </w:abstractNum>
  <w:abstractNum w:abstractNumId="8">
    <w:nsid w:val="4F4D2419"/>
    <w:multiLevelType w:val="singleLevel"/>
    <w:tmpl w:val="4F4D2419"/>
    <w:lvl w:ilvl="0" w:tentative="0">
      <w:start w:val="1"/>
      <w:numFmt w:val="decimal"/>
      <w:lvlText w:val="(%1)"/>
      <w:lvlJc w:val="left"/>
      <w:pPr>
        <w:ind w:left="425" w:hanging="425"/>
      </w:pPr>
      <w:rPr>
        <w:rFonts w:hint="default"/>
      </w:rPr>
    </w:lvl>
  </w:abstractNum>
  <w:abstractNum w:abstractNumId="9">
    <w:nsid w:val="746A6B31"/>
    <w:multiLevelType w:val="singleLevel"/>
    <w:tmpl w:val="746A6B31"/>
    <w:lvl w:ilvl="0" w:tentative="0">
      <w:start w:val="1"/>
      <w:numFmt w:val="chineseCounting"/>
      <w:suff w:val="nothing"/>
      <w:lvlText w:val="（%1）"/>
      <w:lvlJc w:val="left"/>
      <w:pPr>
        <w:ind w:left="-420" w:firstLine="420"/>
      </w:pPr>
      <w:rPr>
        <w:rFonts w:hint="eastAsia"/>
      </w:rPr>
    </w:lvl>
  </w:abstractNum>
  <w:num w:numId="1">
    <w:abstractNumId w:val="6"/>
  </w:num>
  <w:num w:numId="2">
    <w:abstractNumId w:val="9"/>
  </w:num>
  <w:num w:numId="3">
    <w:abstractNumId w:val="0"/>
  </w:num>
  <w:num w:numId="4">
    <w:abstractNumId w:val="8"/>
  </w:num>
  <w:num w:numId="5">
    <w:abstractNumId w:val="1"/>
  </w:num>
  <w:num w:numId="6">
    <w:abstractNumId w:val="7"/>
  </w:num>
  <w:num w:numId="7">
    <w:abstractNumId w:val="5"/>
  </w:num>
  <w:num w:numId="8">
    <w:abstractNumId w:val="4"/>
  </w:num>
  <w:num w:numId="9">
    <w:abstractNumId w:val="3"/>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森">
    <w15:presenceInfo w15:providerId="WPS Office" w15:userId="24285531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xNzhhZWVjZDVjYzFiNzUyN2FlYmU1YTIwNTA2N2MifQ=="/>
  </w:docVars>
  <w:rsids>
    <w:rsidRoot w:val="00681410"/>
    <w:rsid w:val="0002072A"/>
    <w:rsid w:val="00061E07"/>
    <w:rsid w:val="00160CAF"/>
    <w:rsid w:val="00162818"/>
    <w:rsid w:val="00216720"/>
    <w:rsid w:val="002277A4"/>
    <w:rsid w:val="00681410"/>
    <w:rsid w:val="0078244A"/>
    <w:rsid w:val="008914B7"/>
    <w:rsid w:val="00B97AED"/>
    <w:rsid w:val="00C9106E"/>
    <w:rsid w:val="00F43941"/>
    <w:rsid w:val="025832D3"/>
    <w:rsid w:val="076653B1"/>
    <w:rsid w:val="08470072"/>
    <w:rsid w:val="0C6A7D1D"/>
    <w:rsid w:val="0C8E44C1"/>
    <w:rsid w:val="0D532C76"/>
    <w:rsid w:val="13A9398F"/>
    <w:rsid w:val="1804388A"/>
    <w:rsid w:val="183D7867"/>
    <w:rsid w:val="1A71475F"/>
    <w:rsid w:val="1C4A5F2B"/>
    <w:rsid w:val="1FED72F9"/>
    <w:rsid w:val="268A3AF4"/>
    <w:rsid w:val="274C6A3A"/>
    <w:rsid w:val="27870033"/>
    <w:rsid w:val="2B033E75"/>
    <w:rsid w:val="2CBA4A07"/>
    <w:rsid w:val="312A0667"/>
    <w:rsid w:val="313034EA"/>
    <w:rsid w:val="31BC3D81"/>
    <w:rsid w:val="33365024"/>
    <w:rsid w:val="345D1B1D"/>
    <w:rsid w:val="34F5482E"/>
    <w:rsid w:val="360A60B7"/>
    <w:rsid w:val="361743B8"/>
    <w:rsid w:val="386B2CF7"/>
    <w:rsid w:val="3A573895"/>
    <w:rsid w:val="3BE455FD"/>
    <w:rsid w:val="3CA628B2"/>
    <w:rsid w:val="3DA93BFF"/>
    <w:rsid w:val="3F786788"/>
    <w:rsid w:val="418F2299"/>
    <w:rsid w:val="45525385"/>
    <w:rsid w:val="46F74436"/>
    <w:rsid w:val="47613FA5"/>
    <w:rsid w:val="47946129"/>
    <w:rsid w:val="47D76015"/>
    <w:rsid w:val="48BF2D31"/>
    <w:rsid w:val="4B920BD1"/>
    <w:rsid w:val="4C4243A5"/>
    <w:rsid w:val="4C6B057F"/>
    <w:rsid w:val="4F624D5E"/>
    <w:rsid w:val="504601DC"/>
    <w:rsid w:val="51194364"/>
    <w:rsid w:val="539D45B7"/>
    <w:rsid w:val="562468CA"/>
    <w:rsid w:val="57C2283E"/>
    <w:rsid w:val="59266DFD"/>
    <w:rsid w:val="5BE75C8A"/>
    <w:rsid w:val="5C4E644E"/>
    <w:rsid w:val="5C9B1D7C"/>
    <w:rsid w:val="5E4C7505"/>
    <w:rsid w:val="630F26B0"/>
    <w:rsid w:val="645E569D"/>
    <w:rsid w:val="646A2293"/>
    <w:rsid w:val="67006EDF"/>
    <w:rsid w:val="68FA776B"/>
    <w:rsid w:val="698A07D4"/>
    <w:rsid w:val="6C70102E"/>
    <w:rsid w:val="6C8609E1"/>
    <w:rsid w:val="6D282CEC"/>
    <w:rsid w:val="6E0472B5"/>
    <w:rsid w:val="70756EB2"/>
    <w:rsid w:val="707C51C4"/>
    <w:rsid w:val="72CE25E9"/>
    <w:rsid w:val="731474DA"/>
    <w:rsid w:val="736600CA"/>
    <w:rsid w:val="74974D88"/>
    <w:rsid w:val="74B15375"/>
    <w:rsid w:val="763C15B6"/>
    <w:rsid w:val="79D33FDF"/>
    <w:rsid w:val="7A1E34AC"/>
    <w:rsid w:val="7AF07D13"/>
    <w:rsid w:val="7B8437E3"/>
    <w:rsid w:val="7EFC6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ind w:left="238"/>
      <w:jc w:val="left"/>
    </w:pPr>
    <w:rPr>
      <w:rFonts w:cs="Arial"/>
      <w:smallCaps/>
      <w:sz w:val="24"/>
      <w:szCs w:val="20"/>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table" w:styleId="8">
    <w:name w:val="Table Grid"/>
    <w:basedOn w:val="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paragraph" w:styleId="14">
    <w:name w:val="List Paragraph"/>
    <w:basedOn w:val="1"/>
    <w:qFormat/>
    <w:uiPriority w:val="34"/>
    <w:pPr>
      <w:ind w:left="704" w:hanging="420"/>
    </w:pPr>
    <w:rPr>
      <w:rFonts w:ascii="Times New Roman" w:hAnsi="Times New Roman" w:eastAsia="黑体" w:cs="Times New Roman"/>
      <w:sz w:val="32"/>
      <w:szCs w:val="24"/>
    </w:rPr>
  </w:style>
  <w:style w:type="character" w:customStyle="1" w:styleId="15">
    <w:name w:val="标题 1 字符"/>
    <w:basedOn w:val="9"/>
    <w:link w:val="3"/>
    <w:qFormat/>
    <w:uiPriority w:val="9"/>
    <w:rPr>
      <w:b/>
      <w:bCs/>
      <w:kern w:val="44"/>
      <w:sz w:val="44"/>
      <w:szCs w:val="44"/>
    </w:rPr>
  </w:style>
  <w:style w:type="paragraph" w:customStyle="1" w:styleId="16">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2939</Words>
  <Characters>3102</Characters>
  <Lines>7</Lines>
  <Paragraphs>2</Paragraphs>
  <TotalTime>1</TotalTime>
  <ScaleCrop>false</ScaleCrop>
  <LinksUpToDate>false</LinksUpToDate>
  <CharactersWithSpaces>3179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2026-10-09T10:12:50Z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97F7E96896894A878BBFD82C0F638E86_13</vt:lpwstr>
  </property>
  <property fmtid="{D5CDD505-2E9C-101B-9397-08002B2CF9AE}" pid="4" name="KSOTemplateDocerSaveRecord">
    <vt:lpwstr>eyJoZGlkIjoiOTgxNzhhZWVjZDVjYzFiNzUyN2FlYmU1YTIwNTA2N2MiLCJ1c2VySWQiOiIxMTI2ODg3MDA2In0=</vt:lpwstr>
  </property>
</Properties>
</file>