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19B5C">
      <w:pPr>
        <w:pStyle w:val="14"/>
        <w:widowControl/>
        <w:numPr>
          <w:ilvl w:val="0"/>
          <w:numId w:val="1"/>
        </w:numPr>
        <w:spacing w:line="360" w:lineRule="auto"/>
        <w:jc w:val="left"/>
        <w:rPr>
          <w:rFonts w:hint="eastAsia" w:ascii="仿宋_GB2312" w:hAnsi="仿宋_GB2312" w:eastAsia="仿宋_GB2312" w:cs="仿宋_GB2312"/>
          <w:b/>
          <w:color w:val="auto"/>
          <w:kern w:val="0"/>
          <w:sz w:val="28"/>
          <w:szCs w:val="28"/>
        </w:rPr>
      </w:pPr>
      <w:bookmarkStart w:id="0" w:name="_GoBack"/>
      <w:bookmarkEnd w:id="0"/>
      <w:r>
        <w:rPr>
          <w:rFonts w:hint="eastAsia" w:ascii="仿宋_GB2312" w:hAnsi="仿宋_GB2312" w:eastAsia="仿宋_GB2312" w:cs="仿宋_GB2312"/>
          <w:b/>
          <w:color w:val="auto"/>
          <w:kern w:val="0"/>
          <w:sz w:val="28"/>
          <w:szCs w:val="28"/>
        </w:rPr>
        <w:t>项目基本情况</w:t>
      </w:r>
    </w:p>
    <w:p w14:paraId="6F74687D">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项目名称</w:t>
      </w:r>
      <w:r>
        <w:rPr>
          <w:rFonts w:hint="eastAsia" w:ascii="仿宋_GB2312" w:hAnsi="仿宋_GB2312" w:eastAsia="仿宋_GB2312" w:cs="仿宋_GB2312"/>
          <w:color w:val="auto"/>
          <w:kern w:val="0"/>
          <w:sz w:val="28"/>
          <w:szCs w:val="28"/>
          <w:lang w:eastAsia="zh-CN"/>
        </w:rPr>
        <w:t>：医院涉医类法律顾问服务</w:t>
      </w:r>
    </w:p>
    <w:p w14:paraId="2D874A2D">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项目预算</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lang w:val="en-US" w:eastAsia="zh-CN"/>
        </w:rPr>
        <w:t xml:space="preserve">300000.00元 </w:t>
      </w:r>
    </w:p>
    <w:p w14:paraId="05475B81">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项目</w:t>
      </w:r>
      <w:r>
        <w:rPr>
          <w:rFonts w:hint="eastAsia" w:ascii="仿宋_GB2312" w:hAnsi="仿宋_GB2312" w:eastAsia="仿宋_GB2312" w:cs="仿宋_GB2312"/>
          <w:color w:val="auto"/>
          <w:kern w:val="0"/>
          <w:sz w:val="28"/>
          <w:szCs w:val="28"/>
          <w:lang w:val="en-US" w:eastAsia="zh-CN"/>
        </w:rPr>
        <w:t>报价类型</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lang w:val="en-US" w:eastAsia="zh-CN"/>
        </w:rPr>
        <w:t>总报价</w:t>
      </w:r>
    </w:p>
    <w:p w14:paraId="2850E2FF">
      <w:pPr>
        <w:pStyle w:val="14"/>
        <w:widowControl/>
        <w:numPr>
          <w:ilvl w:val="0"/>
          <w:numId w:val="2"/>
        </w:numPr>
        <w:spacing w:line="360" w:lineRule="auto"/>
        <w:ind w:left="-420" w:leftChars="0" w:firstLine="420" w:firstLineChars="0"/>
        <w:jc w:val="left"/>
        <w:rPr>
          <w:rFonts w:hint="default"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资金来源：单位资金</w:t>
      </w:r>
    </w:p>
    <w:p w14:paraId="3616D6F8">
      <w:pPr>
        <w:pStyle w:val="14"/>
        <w:widowControl/>
        <w:numPr>
          <w:ilvl w:val="0"/>
          <w:numId w:val="2"/>
        </w:numPr>
        <w:spacing w:line="360" w:lineRule="auto"/>
        <w:ind w:left="-420" w:leftChars="0" w:firstLine="420" w:firstLineChars="0"/>
        <w:jc w:val="left"/>
        <w:rPr>
          <w:rFonts w:hint="default"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资金</w:t>
      </w:r>
      <w:r>
        <w:rPr>
          <w:rFonts w:hint="eastAsia" w:ascii="仿宋_GB2312" w:hAnsi="仿宋_GB2312" w:eastAsia="仿宋_GB2312" w:cs="仿宋_GB2312"/>
          <w:color w:val="auto"/>
          <w:kern w:val="0"/>
          <w:sz w:val="28"/>
          <w:szCs w:val="28"/>
        </w:rPr>
        <w:t>项目名称</w:t>
      </w:r>
      <w:r>
        <w:rPr>
          <w:rFonts w:hint="eastAsia" w:ascii="仿宋_GB2312" w:hAnsi="仿宋_GB2312" w:eastAsia="仿宋_GB2312" w:cs="仿宋_GB2312"/>
          <w:color w:val="auto"/>
          <w:kern w:val="0"/>
          <w:sz w:val="28"/>
          <w:szCs w:val="28"/>
          <w:lang w:eastAsia="zh-CN"/>
        </w:rPr>
        <w:t>（费用支付单</w:t>
      </w:r>
      <w:r>
        <w:rPr>
          <w:rFonts w:hint="eastAsia" w:ascii="仿宋_GB2312" w:hAnsi="仿宋_GB2312" w:eastAsia="仿宋_GB2312" w:cs="仿宋_GB2312"/>
          <w:color w:val="auto"/>
          <w:kern w:val="0"/>
          <w:sz w:val="28"/>
          <w:szCs w:val="28"/>
          <w:lang w:val="en-US" w:eastAsia="zh-CN"/>
        </w:rPr>
        <w:t>-附件2</w:t>
      </w:r>
      <w:r>
        <w:rPr>
          <w:rFonts w:hint="eastAsia" w:ascii="仿宋_GB2312" w:hAnsi="仿宋_GB2312" w:eastAsia="仿宋_GB2312" w:cs="仿宋_GB2312"/>
          <w:color w:val="auto"/>
          <w:kern w:val="0"/>
          <w:sz w:val="28"/>
          <w:szCs w:val="28"/>
          <w:lang w:eastAsia="zh-CN"/>
        </w:rPr>
        <w:t>）：医院涉医类法律顾问</w:t>
      </w:r>
      <w:r>
        <w:rPr>
          <w:rFonts w:hint="eastAsia" w:ascii="仿宋_GB2312" w:hAnsi="仿宋_GB2312" w:eastAsia="仿宋_GB2312" w:cs="仿宋_GB2312"/>
          <w:color w:val="auto"/>
          <w:kern w:val="0"/>
          <w:sz w:val="28"/>
          <w:szCs w:val="28"/>
          <w:lang w:val="en-US" w:eastAsia="zh-CN"/>
        </w:rPr>
        <w:t>费</w:t>
      </w:r>
    </w:p>
    <w:p w14:paraId="52835646">
      <w:pPr>
        <w:pStyle w:val="14"/>
        <w:widowControl/>
        <w:numPr>
          <w:ilvl w:val="0"/>
          <w:numId w:val="2"/>
        </w:numPr>
        <w:spacing w:line="360" w:lineRule="auto"/>
        <w:ind w:left="-420" w:leftChars="0" w:firstLine="420" w:firstLineChars="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采购类别：服务</w:t>
      </w:r>
    </w:p>
    <w:p w14:paraId="773B1FC9">
      <w:pPr>
        <w:pStyle w:val="14"/>
        <w:widowControl/>
        <w:numPr>
          <w:ilvl w:val="0"/>
          <w:numId w:val="1"/>
        </w:numPr>
        <w:spacing w:line="360" w:lineRule="auto"/>
        <w:jc w:val="left"/>
        <w:rPr>
          <w:rFonts w:hint="default" w:ascii="仿宋_GB2312" w:hAnsi="仿宋_GB2312" w:eastAsia="仿宋_GB2312" w:cs="仿宋_GB2312"/>
          <w:color w:val="auto"/>
          <w:sz w:val="28"/>
          <w:szCs w:val="28"/>
          <w:u w:val="single"/>
          <w:lang w:val="en-US" w:eastAsia="zh-CN"/>
        </w:rPr>
      </w:pPr>
      <w:r>
        <w:rPr>
          <w:rFonts w:hint="eastAsia" w:ascii="仿宋_GB2312" w:hAnsi="仿宋_GB2312" w:eastAsia="仿宋_GB2312" w:cs="仿宋_GB2312"/>
          <w:b/>
          <w:color w:val="auto"/>
          <w:kern w:val="0"/>
          <w:sz w:val="28"/>
          <w:szCs w:val="28"/>
          <w:lang w:val="en-US" w:eastAsia="zh-CN"/>
        </w:rPr>
        <w:t>项目</w:t>
      </w:r>
      <w:r>
        <w:rPr>
          <w:rFonts w:hint="eastAsia" w:ascii="仿宋_GB2312" w:hAnsi="仿宋_GB2312" w:eastAsia="仿宋_GB2312" w:cs="仿宋_GB2312"/>
          <w:b/>
          <w:color w:val="auto"/>
          <w:kern w:val="0"/>
          <w:sz w:val="28"/>
          <w:szCs w:val="28"/>
        </w:rPr>
        <w:t>采购需求</w:t>
      </w:r>
      <w:r>
        <w:rPr>
          <w:rFonts w:hint="eastAsia" w:ascii="仿宋_GB2312" w:hAnsi="仿宋_GB2312" w:eastAsia="仿宋_GB2312" w:cs="仿宋_GB2312"/>
          <w:b/>
          <w:color w:val="auto"/>
          <w:kern w:val="0"/>
          <w:sz w:val="28"/>
          <w:szCs w:val="28"/>
          <w:lang w:eastAsia="zh-CN"/>
        </w:rPr>
        <w:t>：</w:t>
      </w:r>
    </w:p>
    <w:p w14:paraId="7AFD2C70">
      <w:pPr>
        <w:pStyle w:val="14"/>
        <w:widowControl/>
        <w:numPr>
          <w:ilvl w:val="0"/>
          <w:numId w:val="0"/>
        </w:numPr>
        <w:spacing w:line="360" w:lineRule="auto"/>
        <w:ind w:leftChars="0"/>
        <w:jc w:val="left"/>
        <w:rPr>
          <w:rFonts w:hint="default" w:ascii="仿宋_GB2312" w:hAnsi="仿宋_GB2312" w:eastAsia="仿宋_GB2312" w:cs="仿宋_GB2312"/>
          <w:color w:val="auto"/>
          <w:sz w:val="28"/>
          <w:szCs w:val="28"/>
          <w:u w:val="single"/>
          <w:lang w:val="en-US" w:eastAsia="zh-CN"/>
        </w:rPr>
      </w:pP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一</w:t>
      </w:r>
      <w:r>
        <w:rPr>
          <w:rFonts w:hint="eastAsia" w:ascii="仿宋_GB2312" w:hAnsi="仿宋_GB2312" w:eastAsia="仿宋_GB2312" w:cs="仿宋_GB2312"/>
          <w:color w:val="auto"/>
          <w:sz w:val="28"/>
          <w:szCs w:val="28"/>
        </w:rPr>
        <w:t>）采购项目需实现的功能和目标：</w:t>
      </w:r>
      <w:r>
        <w:rPr>
          <w:rFonts w:hint="eastAsia" w:ascii="仿宋_GB2312" w:hAnsi="仿宋_GB2312" w:eastAsia="仿宋_GB2312" w:cs="仿宋_GB2312"/>
          <w:color w:val="auto"/>
          <w:sz w:val="28"/>
          <w:szCs w:val="28"/>
          <w:u w:val="single"/>
          <w:lang w:val="en-US" w:eastAsia="zh-CN"/>
        </w:rPr>
        <w:t xml:space="preserve">  满足医院涉医类法律顾问服务要求。</w:t>
      </w:r>
    </w:p>
    <w:p w14:paraId="18C6A0DE">
      <w:pPr>
        <w:spacing w:line="360" w:lineRule="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（二）项目属性：</w:t>
      </w:r>
    </w:p>
    <w:p w14:paraId="73E65477">
      <w:pPr>
        <w:numPr>
          <w:ilvl w:val="0"/>
          <w:numId w:val="3"/>
        </w:numPr>
        <w:spacing w:line="360" w:lineRule="auto"/>
        <w:ind w:left="425" w:leftChars="0" w:hanging="425" w:firstLineChars="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是否适宜由中小企业提供，并专门面向中小企业采购 </w:t>
      </w:r>
    </w:p>
    <w:p w14:paraId="5E000F24">
      <w:pPr>
        <w:numPr>
          <w:ilvl w:val="0"/>
          <w:numId w:val="4"/>
        </w:numPr>
        <w:spacing w:line="360" w:lineRule="auto"/>
        <w:ind w:left="425" w:leftChars="0" w:hanging="425" w:firstLineChars="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是         □是否仅面向小微企业</w:t>
      </w:r>
    </w:p>
    <w:p w14:paraId="5E19CD87">
      <w:pPr>
        <w:numPr>
          <w:ilvl w:val="0"/>
          <w:numId w:val="4"/>
        </w:numPr>
        <w:spacing w:line="360" w:lineRule="auto"/>
        <w:ind w:left="425" w:leftChars="0" w:hanging="425" w:firstLineChars="0"/>
        <w:rPr>
          <w:rFonts w:ascii="仿宋" w:hAnsi="仿宋" w:eastAsia="仿宋"/>
          <w:color w:val="auto"/>
          <w:sz w:val="28"/>
          <w:szCs w:val="28"/>
          <w:u w:val="single"/>
        </w:rPr>
      </w:pPr>
      <w:r>
        <w:rPr>
          <w:rFonts w:hint="eastAsia" w:ascii="仿宋_GB2312" w:hAnsi="仿宋_GB2312" w:eastAsia="仿宋_GB2312" w:cs="仿宋_GB2312"/>
          <w:color w:val="auto"/>
          <w:sz w:val="28"/>
          <w:szCs w:val="28"/>
        </w:rPr>
        <w:t>□否，原因说明</w:t>
      </w:r>
      <w:r>
        <w:rPr>
          <w:rFonts w:hint="eastAsia" w:ascii="仿宋_GB2312" w:hAnsi="仿宋_GB2312" w:eastAsia="仿宋_GB2312" w:cs="仿宋_GB2312"/>
          <w:color w:val="auto"/>
          <w:sz w:val="28"/>
          <w:szCs w:val="28"/>
          <w:u w:val="single"/>
        </w:rPr>
        <w:t xml:space="preserve">              </w:t>
      </w:r>
      <w:r>
        <w:rPr>
          <w:rFonts w:ascii="仿宋" w:hAnsi="仿宋" w:eastAsia="仿宋"/>
          <w:color w:val="auto"/>
          <w:sz w:val="28"/>
          <w:szCs w:val="28"/>
          <w:u w:val="single"/>
        </w:rPr>
        <w:t xml:space="preserve">                          </w:t>
      </w:r>
      <w:r>
        <w:rPr>
          <w:rFonts w:hint="eastAsia" w:ascii="仿宋" w:hAnsi="仿宋" w:eastAsia="仿宋"/>
          <w:color w:val="auto"/>
          <w:sz w:val="28"/>
          <w:szCs w:val="28"/>
          <w:u w:val="single"/>
          <w:lang w:eastAsia="zh-CN"/>
        </w:rPr>
        <w:t>。</w:t>
      </w:r>
    </w:p>
    <w:p w14:paraId="2758D596">
      <w:pPr>
        <w:numPr>
          <w:ilvl w:val="0"/>
          <w:numId w:val="5"/>
        </w:numPr>
        <w:rPr>
          <w:rFonts w:hint="eastAsia"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lang w:val="en-US" w:eastAsia="zh-CN"/>
        </w:rPr>
        <w:t>是否接受</w:t>
      </w:r>
      <w:r>
        <w:rPr>
          <w:rFonts w:hint="eastAsia" w:ascii="仿宋_GB2312" w:hAnsi="仿宋_GB2312" w:eastAsia="仿宋_GB2312" w:cs="仿宋_GB2312"/>
          <w:b/>
          <w:bCs/>
          <w:color w:val="auto"/>
          <w:sz w:val="28"/>
          <w:szCs w:val="28"/>
        </w:rPr>
        <w:t>联合体投标</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是</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否</w:t>
      </w:r>
    </w:p>
    <w:p w14:paraId="4B75B599">
      <w:pPr>
        <w:spacing w:line="360" w:lineRule="auto"/>
        <w:rPr>
          <w:rFonts w:hint="eastAsia" w:ascii="仿宋_GB2312" w:hAnsi="仿宋_GB2312" w:eastAsia="仿宋_GB2312" w:cs="仿宋_GB2312"/>
          <w:b/>
          <w:bCs/>
          <w:color w:val="auto"/>
          <w:sz w:val="28"/>
          <w:szCs w:val="28"/>
          <w:lang w:eastAsia="zh-CN"/>
        </w:rPr>
      </w:pPr>
      <w:r>
        <w:rPr>
          <w:rFonts w:hint="eastAsia" w:ascii="仿宋" w:hAnsi="仿宋" w:eastAsia="仿宋"/>
          <w:b/>
          <w:bCs/>
          <w:color w:val="auto"/>
          <w:sz w:val="32"/>
          <w:szCs w:val="32"/>
        </w:rPr>
        <w:t>（</w:t>
      </w:r>
      <w:r>
        <w:rPr>
          <w:rFonts w:hint="eastAsia" w:ascii="仿宋_GB2312" w:hAnsi="仿宋_GB2312" w:eastAsia="仿宋_GB2312" w:cs="仿宋_GB2312"/>
          <w:b/>
          <w:bCs/>
          <w:color w:val="auto"/>
          <w:sz w:val="28"/>
          <w:szCs w:val="28"/>
          <w:lang w:val="en-US" w:eastAsia="zh-CN"/>
        </w:rPr>
        <w:t>四</w:t>
      </w:r>
      <w:r>
        <w:rPr>
          <w:rFonts w:hint="eastAsia" w:ascii="仿宋_GB2312" w:hAnsi="仿宋_GB2312" w:eastAsia="仿宋_GB2312" w:cs="仿宋_GB2312"/>
          <w:b/>
          <w:bCs/>
          <w:color w:val="auto"/>
          <w:sz w:val="28"/>
          <w:szCs w:val="28"/>
        </w:rPr>
        <w:t>）采购标的汇总表</w:t>
      </w:r>
      <w:r>
        <w:rPr>
          <w:rFonts w:hint="eastAsia" w:ascii="仿宋_GB2312" w:hAnsi="仿宋_GB2312" w:eastAsia="仿宋_GB2312" w:cs="仿宋_GB2312"/>
          <w:b/>
          <w:bCs/>
          <w:color w:val="auto"/>
          <w:sz w:val="28"/>
          <w:szCs w:val="28"/>
          <w:lang w:eastAsia="zh-CN"/>
        </w:rPr>
        <w:t>：</w:t>
      </w:r>
    </w:p>
    <w:tbl>
      <w:tblPr>
        <w:tblStyle w:val="7"/>
        <w:tblW w:w="7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2331"/>
        <w:gridCol w:w="1601"/>
        <w:gridCol w:w="968"/>
        <w:gridCol w:w="1200"/>
      </w:tblGrid>
      <w:tr w14:paraId="5FC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1405" w:type="dxa"/>
            <w:shd w:val="clear" w:color="auto" w:fill="FFFFFF"/>
            <w:noWrap w:val="0"/>
            <w:tcMar>
              <w:top w:w="0" w:type="dxa"/>
              <w:right w:w="0" w:type="dxa"/>
            </w:tcMar>
            <w:vAlign w:val="center"/>
          </w:tcPr>
          <w:p w14:paraId="3C7235DF">
            <w:pPr>
              <w:autoSpaceDE w:val="0"/>
              <w:autoSpaceDN w:val="0"/>
              <w:adjustRightInd w:val="0"/>
              <w:spacing w:line="240" w:lineRule="auto"/>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val="en-US" w:eastAsia="zh-CN"/>
              </w:rPr>
              <w:t>项目</w:t>
            </w:r>
            <w:r>
              <w:rPr>
                <w:rFonts w:hint="eastAsia" w:ascii="仿宋_GB2312" w:hAnsi="仿宋_GB2312" w:eastAsia="仿宋_GB2312" w:cs="仿宋_GB2312"/>
                <w:color w:val="auto"/>
                <w:kern w:val="0"/>
                <w:sz w:val="28"/>
                <w:szCs w:val="28"/>
              </w:rPr>
              <w:t>名称</w:t>
            </w:r>
          </w:p>
        </w:tc>
        <w:tc>
          <w:tcPr>
            <w:tcW w:w="2331" w:type="dxa"/>
            <w:shd w:val="clear" w:color="auto" w:fill="FFFFFF"/>
            <w:noWrap w:val="0"/>
            <w:tcMar>
              <w:top w:w="0" w:type="dxa"/>
              <w:right w:w="0" w:type="dxa"/>
            </w:tcMar>
            <w:vAlign w:val="center"/>
          </w:tcPr>
          <w:p w14:paraId="67A87C06">
            <w:pPr>
              <w:autoSpaceDE w:val="0"/>
              <w:autoSpaceDN w:val="0"/>
              <w:adjustRightInd w:val="0"/>
              <w:spacing w:line="240" w:lineRule="auto"/>
              <w:jc w:val="center"/>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品目 （政府采购品目分类目录）</w:t>
            </w:r>
          </w:p>
        </w:tc>
        <w:tc>
          <w:tcPr>
            <w:tcW w:w="1601" w:type="dxa"/>
            <w:shd w:val="clear" w:color="auto" w:fill="FFFFFF"/>
            <w:noWrap w:val="0"/>
            <w:tcMar>
              <w:top w:w="0" w:type="dxa"/>
              <w:right w:w="0" w:type="dxa"/>
            </w:tcMar>
            <w:vAlign w:val="center"/>
          </w:tcPr>
          <w:p w14:paraId="220D0F2A">
            <w:pPr>
              <w:autoSpaceDE w:val="0"/>
              <w:autoSpaceDN w:val="0"/>
              <w:adjustRightInd w:val="0"/>
              <w:spacing w:line="240" w:lineRule="auto"/>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计量单位</w:t>
            </w:r>
          </w:p>
        </w:tc>
        <w:tc>
          <w:tcPr>
            <w:tcW w:w="968" w:type="dxa"/>
            <w:shd w:val="clear" w:color="auto" w:fill="FFFFFF"/>
            <w:noWrap w:val="0"/>
            <w:vAlign w:val="center"/>
          </w:tcPr>
          <w:p w14:paraId="5483B0B3">
            <w:pPr>
              <w:autoSpaceDE w:val="0"/>
              <w:autoSpaceDN w:val="0"/>
              <w:adjustRightInd w:val="0"/>
              <w:spacing w:line="240" w:lineRule="auto"/>
              <w:jc w:val="center"/>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数量</w:t>
            </w:r>
          </w:p>
        </w:tc>
        <w:tc>
          <w:tcPr>
            <w:tcW w:w="1200" w:type="dxa"/>
            <w:shd w:val="clear" w:color="auto" w:fill="FFFFFF"/>
            <w:noWrap w:val="0"/>
            <w:vAlign w:val="center"/>
          </w:tcPr>
          <w:p w14:paraId="482127CF">
            <w:pPr>
              <w:autoSpaceDE w:val="0"/>
              <w:autoSpaceDN w:val="0"/>
              <w:adjustRightInd w:val="0"/>
              <w:spacing w:line="240" w:lineRule="auto"/>
              <w:jc w:val="center"/>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总</w:t>
            </w:r>
            <w:r>
              <w:rPr>
                <w:rFonts w:hint="eastAsia" w:ascii="仿宋_GB2312" w:hAnsi="仿宋_GB2312" w:eastAsia="仿宋_GB2312" w:cs="仿宋_GB2312"/>
                <w:color w:val="auto"/>
                <w:kern w:val="0"/>
                <w:sz w:val="28"/>
                <w:szCs w:val="28"/>
              </w:rPr>
              <w:t>预算</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lang w:val="en-US" w:eastAsia="zh-CN"/>
              </w:rPr>
              <w:t>元</w:t>
            </w:r>
            <w:r>
              <w:rPr>
                <w:rFonts w:hint="eastAsia" w:ascii="仿宋_GB2312" w:hAnsi="仿宋_GB2312" w:eastAsia="仿宋_GB2312" w:cs="仿宋_GB2312"/>
                <w:color w:val="auto"/>
                <w:kern w:val="0"/>
                <w:sz w:val="28"/>
                <w:szCs w:val="28"/>
                <w:lang w:eastAsia="zh-CN"/>
              </w:rPr>
              <w:t>）</w:t>
            </w:r>
          </w:p>
        </w:tc>
      </w:tr>
      <w:tr w14:paraId="1CBA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405" w:type="dxa"/>
            <w:shd w:val="clear" w:color="auto" w:fill="FFFFFF"/>
            <w:noWrap w:val="0"/>
            <w:tcMar>
              <w:top w:w="0" w:type="dxa"/>
              <w:right w:w="0" w:type="dxa"/>
            </w:tcMar>
            <w:vAlign w:val="center"/>
          </w:tcPr>
          <w:p w14:paraId="5F1BBDCA">
            <w:pPr>
              <w:autoSpaceDE w:val="0"/>
              <w:autoSpaceDN w:val="0"/>
              <w:adjustRightInd w:val="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医院涉医类法律顾问服务项目</w:t>
            </w:r>
          </w:p>
        </w:tc>
        <w:tc>
          <w:tcPr>
            <w:tcW w:w="2331" w:type="dxa"/>
            <w:shd w:val="clear" w:color="auto" w:fill="FFFFFF"/>
            <w:noWrap w:val="0"/>
            <w:tcMar>
              <w:top w:w="0" w:type="dxa"/>
              <w:right w:w="0" w:type="dxa"/>
            </w:tcMar>
            <w:vAlign w:val="center"/>
          </w:tcPr>
          <w:p w14:paraId="7495E581">
            <w:pPr>
              <w:autoSpaceDE w:val="0"/>
              <w:autoSpaceDN w:val="0"/>
              <w:adjustRightInd w:val="0"/>
              <w:jc w:val="center"/>
              <w:rPr>
                <w:rFonts w:hint="eastAsia" w:ascii="仿宋_GB2312" w:hAnsi="仿宋_GB2312" w:eastAsia="仿宋_GB2312" w:cs="仿宋_GB2312"/>
                <w:b/>
                <w:bCs/>
                <w:color w:val="auto"/>
                <w:kern w:val="0"/>
                <w:sz w:val="28"/>
                <w:szCs w:val="28"/>
                <w:lang w:val="en-US" w:eastAsia="zh-CN"/>
              </w:rPr>
            </w:pPr>
            <w:r>
              <w:rPr>
                <w:rFonts w:hint="eastAsia" w:ascii="仿宋_GB2312" w:hAnsi="仿宋_GB2312" w:eastAsia="仿宋_GB2312" w:cs="仿宋_GB2312"/>
                <w:b/>
                <w:bCs/>
                <w:color w:val="auto"/>
                <w:kern w:val="0"/>
                <w:sz w:val="28"/>
                <w:szCs w:val="28"/>
                <w:lang w:val="en-US" w:eastAsia="zh-CN"/>
              </w:rPr>
              <w:t>服务类</w:t>
            </w:r>
          </w:p>
          <w:p w14:paraId="19F78CA5">
            <w:pPr>
              <w:autoSpaceDE w:val="0"/>
              <w:autoSpaceDN w:val="0"/>
              <w:adjustRightInd w:val="0"/>
              <w:jc w:val="center"/>
              <w:rPr>
                <w:rFonts w:hint="default"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b/>
                <w:bCs/>
                <w:color w:val="auto"/>
                <w:kern w:val="0"/>
                <w:sz w:val="28"/>
                <w:szCs w:val="28"/>
                <w:lang w:val="en-US" w:eastAsia="zh-CN"/>
              </w:rPr>
              <w:t>（法律服务）</w:t>
            </w:r>
          </w:p>
        </w:tc>
        <w:tc>
          <w:tcPr>
            <w:tcW w:w="1601" w:type="dxa"/>
            <w:shd w:val="clear" w:color="auto" w:fill="FFFFFF"/>
            <w:noWrap w:val="0"/>
            <w:tcMar>
              <w:top w:w="0" w:type="dxa"/>
              <w:right w:w="0" w:type="dxa"/>
            </w:tcMar>
            <w:vAlign w:val="center"/>
          </w:tcPr>
          <w:p w14:paraId="54B4B5FB">
            <w:pPr>
              <w:autoSpaceDE w:val="0"/>
              <w:autoSpaceDN w:val="0"/>
              <w:adjustRightInd w:val="0"/>
              <w:jc w:val="center"/>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项</w:t>
            </w:r>
          </w:p>
        </w:tc>
        <w:tc>
          <w:tcPr>
            <w:tcW w:w="968" w:type="dxa"/>
            <w:shd w:val="clear" w:color="auto" w:fill="FFFFFF"/>
            <w:noWrap w:val="0"/>
            <w:vAlign w:val="center"/>
          </w:tcPr>
          <w:p w14:paraId="2B463C6F">
            <w:pPr>
              <w:autoSpaceDE w:val="0"/>
              <w:autoSpaceDN w:val="0"/>
              <w:adjustRightInd w:val="0"/>
              <w:jc w:val="center"/>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1</w:t>
            </w:r>
          </w:p>
        </w:tc>
        <w:tc>
          <w:tcPr>
            <w:tcW w:w="1200" w:type="dxa"/>
            <w:shd w:val="clear" w:color="auto" w:fill="FFFFFF"/>
            <w:noWrap w:val="0"/>
            <w:vAlign w:val="center"/>
          </w:tcPr>
          <w:p w14:paraId="65845505">
            <w:pPr>
              <w:autoSpaceDE w:val="0"/>
              <w:autoSpaceDN w:val="0"/>
              <w:adjustRightInd w:val="0"/>
              <w:jc w:val="center"/>
              <w:rPr>
                <w:rFonts w:hint="default"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30万</w:t>
            </w:r>
          </w:p>
        </w:tc>
      </w:tr>
    </w:tbl>
    <w:p w14:paraId="76C44FF1">
      <w:pPr>
        <w:numPr>
          <w:ilvl w:val="0"/>
          <w:numId w:val="0"/>
        </w:numPr>
        <w:rPr>
          <w:rFonts w:hint="eastAsia"/>
          <w:b/>
          <w:bCs/>
          <w:color w:val="auto"/>
          <w:lang w:val="en-US" w:eastAsia="zh-CN"/>
        </w:rPr>
      </w:pPr>
      <w:r>
        <w:rPr>
          <w:rFonts w:hint="eastAsia" w:ascii="仿宋_GB2312" w:hAnsi="仿宋_GB2312" w:eastAsia="仿宋_GB2312" w:cs="仿宋_GB2312"/>
          <w:b/>
          <w:bCs/>
          <w:color w:val="auto"/>
          <w:sz w:val="28"/>
          <w:szCs w:val="28"/>
        </w:rPr>
        <w:t>（</w:t>
      </w:r>
      <w:r>
        <w:rPr>
          <w:rFonts w:hint="eastAsia" w:ascii="仿宋_GB2312" w:hAnsi="仿宋_GB2312" w:eastAsia="仿宋_GB2312" w:cs="仿宋_GB2312"/>
          <w:b/>
          <w:bCs/>
          <w:color w:val="auto"/>
          <w:sz w:val="28"/>
          <w:szCs w:val="28"/>
          <w:lang w:val="en-US" w:eastAsia="zh-CN"/>
        </w:rPr>
        <w:t>五</w:t>
      </w:r>
      <w:r>
        <w:rPr>
          <w:rFonts w:hint="eastAsia" w:ascii="仿宋_GB2312" w:hAnsi="仿宋_GB2312" w:eastAsia="仿宋_GB2312" w:cs="仿宋_GB2312"/>
          <w:b/>
          <w:bCs/>
          <w:color w:val="auto"/>
          <w:sz w:val="28"/>
          <w:szCs w:val="28"/>
        </w:rPr>
        <w:t>）</w:t>
      </w:r>
      <w:r>
        <w:rPr>
          <w:rFonts w:hint="eastAsia" w:ascii="仿宋_GB2312" w:hAnsi="仿宋_GB2312" w:eastAsia="仿宋_GB2312" w:cs="仿宋_GB2312"/>
          <w:b/>
          <w:bCs/>
          <w:color w:val="auto"/>
          <w:sz w:val="28"/>
          <w:szCs w:val="28"/>
          <w:lang w:val="en-US" w:eastAsia="zh-CN"/>
        </w:rPr>
        <w:t>按照规定及项目情况设置投标供应商资格要求：</w:t>
      </w:r>
    </w:p>
    <w:p w14:paraId="5A854EE8">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1、</w:t>
      </w:r>
      <w:r>
        <w:rPr>
          <w:rFonts w:hint="eastAsia" w:ascii="宋体" w:hAnsi="宋体" w:eastAsia="宋体" w:cs="宋体"/>
          <w:b w:val="0"/>
          <w:bCs/>
          <w:color w:val="auto"/>
        </w:rPr>
        <w:t>具备《中华人民共和国政府采购法》第二十二条规定的条件。</w:t>
      </w:r>
    </w:p>
    <w:p w14:paraId="52458961">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2、</w:t>
      </w:r>
      <w:r>
        <w:rPr>
          <w:rFonts w:hint="eastAsia" w:ascii="宋体" w:hAnsi="宋体" w:eastAsia="宋体" w:cs="宋体"/>
          <w:b w:val="0"/>
          <w:bCs/>
          <w:color w:val="auto"/>
        </w:rPr>
        <w:t>投标人须具有律师事务所执业资格且年审审核合格【须提供《律师事务所执业许可证》复印件或扫描件，如为分所参与投标的，必须提供总所的《律师事务所执业许可证》复印件或扫描件和分所的《律师事务所分所执业许可证》复印件或扫描件，同时须提供由总所出具的愿为其参与本项目投标及其履约等行为承担民事责任的承诺函（格式自拟），以上材料均要求加盖投标人公章；本项目不接受总所与分所同时参与投标，也不接受同一总所有两个或以上分所参与投标，如出现以上情形，该两家或以上投标人均按无效投标处理】。</w:t>
      </w:r>
    </w:p>
    <w:p w14:paraId="659C7545">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3、</w:t>
      </w:r>
      <w:r>
        <w:rPr>
          <w:rFonts w:hint="eastAsia" w:ascii="宋体" w:hAnsi="宋体" w:eastAsia="宋体" w:cs="宋体"/>
          <w:b w:val="0"/>
          <w:bCs/>
          <w:color w:val="auto"/>
        </w:rPr>
        <w:t>参与本项目采购活动前三年内，在经营活动中没有重大违法记录，未受到司法行政部门的行政处罚或者律师协会的处理（投标人自行提供《承诺函》）。</w:t>
      </w:r>
    </w:p>
    <w:p w14:paraId="3042AA00">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4、</w:t>
      </w:r>
      <w:r>
        <w:rPr>
          <w:rFonts w:hint="eastAsia" w:ascii="宋体" w:hAnsi="宋体" w:eastAsia="宋体" w:cs="宋体"/>
          <w:b w:val="0"/>
          <w:bCs/>
          <w:color w:val="auto"/>
        </w:rPr>
        <w:t>参与本项目政府采购活动时不存在被有关部门禁止参与政府采购活动且在有效期内的情况（投标人自行提供《承诺函》）。</w:t>
      </w:r>
    </w:p>
    <w:p w14:paraId="71762473">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5、</w:t>
      </w:r>
      <w:r>
        <w:rPr>
          <w:rFonts w:hint="eastAsia" w:ascii="宋体" w:hAnsi="宋体" w:eastAsia="宋体" w:cs="宋体"/>
          <w:b w:val="0"/>
          <w:bCs/>
          <w:color w:val="auto"/>
        </w:rPr>
        <w:t>投标人无利益冲突，投标人在截至投标日前没有代理起诉采购人正在诉讼案件（包括仲裁案件），且投标人在截止投标日前不是采购人行政监管部门的法律顾问。（投标人自行提供《承诺函》）。</w:t>
      </w:r>
    </w:p>
    <w:p w14:paraId="29A0CE96">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lang w:val="en-US" w:eastAsia="zh-CN"/>
        </w:rPr>
        <w:t>6、</w:t>
      </w:r>
      <w:r>
        <w:rPr>
          <w:rFonts w:hint="eastAsia" w:ascii="宋体" w:hAnsi="宋体" w:eastAsia="宋体" w:cs="宋体"/>
          <w:b w:val="0"/>
          <w:bCs/>
          <w:color w:val="auto"/>
        </w:rPr>
        <w:t>本项目不接受联合体投标，不允许非法分包或转包。</w:t>
      </w:r>
    </w:p>
    <w:p w14:paraId="43172370">
      <w:pPr>
        <w:pStyle w:val="3"/>
        <w:rPr>
          <w:rFonts w:hint="eastAsia"/>
          <w:color w:val="auto"/>
          <w:lang w:val="en-US" w:eastAsia="zh-CN"/>
        </w:rPr>
      </w:pPr>
    </w:p>
    <w:p w14:paraId="6009013C">
      <w:pPr>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六</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rPr>
        <w:t>技术</w:t>
      </w: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服务</w:t>
      </w:r>
      <w:r>
        <w:rPr>
          <w:rFonts w:hint="eastAsia" w:ascii="仿宋_GB2312" w:hAnsi="仿宋_GB2312" w:eastAsia="仿宋_GB2312" w:cs="仿宋_GB2312"/>
          <w:b/>
          <w:bCs/>
          <w:color w:val="auto"/>
          <w:sz w:val="28"/>
          <w:szCs w:val="28"/>
        </w:rPr>
        <w:t>要求与商务要求</w:t>
      </w:r>
      <w:r>
        <w:rPr>
          <w:rFonts w:hint="eastAsia" w:ascii="仿宋_GB2312" w:hAnsi="仿宋_GB2312" w:eastAsia="仿宋_GB2312" w:cs="仿宋_GB2312"/>
          <w:b/>
          <w:bCs/>
          <w:color w:val="auto"/>
          <w:sz w:val="28"/>
          <w:szCs w:val="28"/>
          <w:lang w:eastAsia="zh-CN"/>
        </w:rPr>
        <w:t>：</w:t>
      </w:r>
    </w:p>
    <w:p w14:paraId="07B9608D">
      <w:pPr>
        <w:numPr>
          <w:ilvl w:val="0"/>
          <w:numId w:val="6"/>
        </w:numPr>
        <w:ind w:left="425" w:leftChars="0" w:hanging="425"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技术要求</w:t>
      </w:r>
      <w:r>
        <w:rPr>
          <w:rFonts w:hint="eastAsia" w:ascii="仿宋_GB2312" w:hAnsi="仿宋_GB2312" w:eastAsia="仿宋_GB2312" w:cs="仿宋_GB2312"/>
          <w:color w:val="auto"/>
          <w:sz w:val="28"/>
          <w:szCs w:val="28"/>
          <w:lang w:eastAsia="zh-CN"/>
        </w:rPr>
        <w:t>：</w:t>
      </w:r>
    </w:p>
    <w:p w14:paraId="675E7C50">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rPr>
        <w:t>（一）服务内容</w:t>
      </w:r>
    </w:p>
    <w:p w14:paraId="423F4351">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rPr>
        <w:t>1.为</w:t>
      </w:r>
      <w:r>
        <w:rPr>
          <w:rFonts w:hint="eastAsia" w:cs="宋体"/>
          <w:b w:val="0"/>
          <w:bCs/>
          <w:color w:val="auto"/>
          <w:lang w:val="en-US" w:eastAsia="zh-CN"/>
        </w:rPr>
        <w:t>采购人</w:t>
      </w:r>
      <w:r>
        <w:rPr>
          <w:rFonts w:hint="eastAsia" w:ascii="宋体" w:hAnsi="宋体" w:eastAsia="宋体" w:cs="宋体"/>
          <w:b w:val="0"/>
          <w:bCs/>
          <w:color w:val="auto"/>
        </w:rPr>
        <w:t>提供专项咨询服务，提前介入潜在医疗争议，提出专业建议，评估风险，参与第三方调解或医患协商。</w:t>
      </w:r>
    </w:p>
    <w:p w14:paraId="29311742">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2</w:t>
      </w:r>
      <w:r>
        <w:rPr>
          <w:rFonts w:hint="eastAsia" w:ascii="宋体" w:hAnsi="宋体" w:eastAsia="宋体" w:cs="宋体"/>
          <w:b w:val="0"/>
          <w:bCs/>
          <w:color w:val="auto"/>
        </w:rPr>
        <w:t>.</w:t>
      </w:r>
      <w:r>
        <w:rPr>
          <w:rFonts w:hint="eastAsia" w:cs="宋体"/>
          <w:b w:val="0"/>
          <w:bCs/>
          <w:color w:val="auto"/>
          <w:lang w:val="en-US" w:eastAsia="zh-CN"/>
        </w:rPr>
        <w:t>应采购人要求，</w:t>
      </w:r>
      <w:r>
        <w:rPr>
          <w:rFonts w:hint="eastAsia" w:ascii="宋体" w:hAnsi="宋体" w:eastAsia="宋体" w:cs="宋体"/>
          <w:b w:val="0"/>
          <w:bCs/>
          <w:color w:val="auto"/>
        </w:rPr>
        <w:t>参加医院的各类医学伦理审查。</w:t>
      </w:r>
    </w:p>
    <w:p w14:paraId="164E5C71">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3</w:t>
      </w:r>
      <w:r>
        <w:rPr>
          <w:rFonts w:hint="eastAsia" w:ascii="宋体" w:hAnsi="宋体" w:eastAsia="宋体" w:cs="宋体"/>
          <w:b w:val="0"/>
          <w:bCs/>
          <w:color w:val="auto"/>
        </w:rPr>
        <w:t>.开展临床科室法律培训，每年至少完成</w:t>
      </w:r>
      <w:r>
        <w:rPr>
          <w:rFonts w:hint="eastAsia" w:cs="宋体"/>
          <w:b w:val="0"/>
          <w:bCs/>
          <w:color w:val="auto"/>
          <w:lang w:val="en-US" w:eastAsia="zh-CN"/>
        </w:rPr>
        <w:t>1</w:t>
      </w:r>
      <w:r>
        <w:rPr>
          <w:rFonts w:hint="eastAsia" w:ascii="宋体" w:hAnsi="宋体" w:eastAsia="宋体" w:cs="宋体"/>
          <w:b w:val="0"/>
          <w:bCs/>
          <w:color w:val="auto"/>
        </w:rPr>
        <w:t>次培训。</w:t>
      </w:r>
    </w:p>
    <w:p w14:paraId="6A8BF50E">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4</w:t>
      </w:r>
      <w:r>
        <w:rPr>
          <w:rFonts w:hint="eastAsia" w:ascii="宋体" w:hAnsi="宋体" w:eastAsia="宋体" w:cs="宋体"/>
          <w:b w:val="0"/>
          <w:bCs/>
          <w:color w:val="auto"/>
        </w:rPr>
        <w:t>.协助临床科室</w:t>
      </w:r>
      <w:r>
        <w:rPr>
          <w:rFonts w:hint="eastAsia" w:cs="宋体"/>
          <w:b w:val="0"/>
          <w:bCs/>
          <w:color w:val="auto"/>
          <w:lang w:val="en-US" w:eastAsia="zh-CN"/>
        </w:rPr>
        <w:t>做好</w:t>
      </w:r>
      <w:r>
        <w:rPr>
          <w:rFonts w:hint="eastAsia" w:ascii="宋体" w:hAnsi="宋体" w:eastAsia="宋体" w:cs="宋体"/>
          <w:b w:val="0"/>
          <w:bCs/>
          <w:color w:val="auto"/>
        </w:rPr>
        <w:t>医疗风险防范。</w:t>
      </w:r>
    </w:p>
    <w:p w14:paraId="0B8E658F">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5</w:t>
      </w:r>
      <w:r>
        <w:rPr>
          <w:rFonts w:hint="eastAsia" w:ascii="宋体" w:hAnsi="宋体" w:eastAsia="宋体" w:cs="宋体"/>
          <w:b w:val="0"/>
          <w:bCs/>
          <w:color w:val="auto"/>
        </w:rPr>
        <w:t>.提供日常医疗纠纷或临床法律咨询服务；应邀参与医疗纠纷调解、谈判、协商。</w:t>
      </w:r>
    </w:p>
    <w:p w14:paraId="449DD309">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6</w:t>
      </w:r>
      <w:r>
        <w:rPr>
          <w:rFonts w:hint="eastAsia" w:ascii="宋体" w:hAnsi="宋体" w:eastAsia="宋体" w:cs="宋体"/>
          <w:b w:val="0"/>
          <w:bCs/>
          <w:color w:val="auto"/>
        </w:rPr>
        <w:t>.根据典型案例和热点案例与临床科室开展研讨分析沙龙。</w:t>
      </w:r>
    </w:p>
    <w:p w14:paraId="5173B475">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7</w:t>
      </w:r>
      <w:r>
        <w:rPr>
          <w:rFonts w:hint="eastAsia" w:ascii="宋体" w:hAnsi="宋体" w:eastAsia="宋体" w:cs="宋体"/>
          <w:b w:val="0"/>
          <w:bCs/>
          <w:color w:val="auto"/>
        </w:rPr>
        <w:t>.草拟、制定、审查、修改协议、制度、知情同意书等医疗法律文书、医疗纠纷处理流程。</w:t>
      </w:r>
    </w:p>
    <w:p w14:paraId="0D589A35">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8</w:t>
      </w:r>
      <w:r>
        <w:rPr>
          <w:rFonts w:hint="eastAsia" w:ascii="宋体" w:hAnsi="宋体" w:eastAsia="宋体" w:cs="宋体"/>
          <w:b w:val="0"/>
          <w:bCs/>
          <w:color w:val="auto"/>
        </w:rPr>
        <w:t>.接受个案委托，收集、整理各类医疗鉴定的检材及证据，草拟鉴定陈述意见书；根据授权参与各类医疗鉴定的陈述、答辩和听证。</w:t>
      </w:r>
    </w:p>
    <w:p w14:paraId="4964C47C">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9</w:t>
      </w:r>
      <w:r>
        <w:rPr>
          <w:rFonts w:hint="eastAsia" w:ascii="宋体" w:hAnsi="宋体" w:eastAsia="宋体" w:cs="宋体"/>
          <w:b w:val="0"/>
          <w:bCs/>
          <w:color w:val="auto"/>
        </w:rPr>
        <w:t xml:space="preserve">.针对医疗纠纷案件，在案件审结后参与纠纷科室案件讨论，配合科室梳理法律风险点。 </w:t>
      </w:r>
    </w:p>
    <w:p w14:paraId="7F0B5C1D">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rPr>
        <w:t>1</w:t>
      </w:r>
      <w:r>
        <w:rPr>
          <w:rFonts w:hint="eastAsia" w:cs="宋体"/>
          <w:b w:val="0"/>
          <w:bCs/>
          <w:color w:val="auto"/>
          <w:lang w:val="en-US" w:eastAsia="zh-CN"/>
        </w:rPr>
        <w:t>0</w:t>
      </w:r>
      <w:r>
        <w:rPr>
          <w:rFonts w:hint="eastAsia" w:ascii="宋体" w:hAnsi="宋体" w:eastAsia="宋体" w:cs="宋体"/>
          <w:b w:val="0"/>
          <w:bCs/>
          <w:color w:val="auto"/>
        </w:rPr>
        <w:t>.对采购人的法律咨询及法律事务，律师顾问一般应在24小时（紧急事务应在2小时）内做出回应（包括口头答复），并对相关问题提出具体的可操作方案和解决途径。</w:t>
      </w:r>
    </w:p>
    <w:p w14:paraId="2193DE2C">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rPr>
        <w:t>1</w:t>
      </w:r>
      <w:r>
        <w:rPr>
          <w:rFonts w:hint="eastAsia" w:cs="宋体"/>
          <w:b w:val="0"/>
          <w:bCs/>
          <w:color w:val="auto"/>
          <w:lang w:val="en-US" w:eastAsia="zh-CN"/>
        </w:rPr>
        <w:t>1</w:t>
      </w:r>
      <w:r>
        <w:rPr>
          <w:rFonts w:hint="eastAsia" w:ascii="宋体" w:hAnsi="宋体" w:eastAsia="宋体" w:cs="宋体"/>
          <w:b w:val="0"/>
          <w:bCs/>
          <w:color w:val="auto"/>
        </w:rPr>
        <w:t>.采购人有特别需要时，律师顾问应当在2小时内到达采购人现场，参与处理突发事件并提供法律意见。</w:t>
      </w:r>
    </w:p>
    <w:p w14:paraId="3E015738">
      <w:pPr>
        <w:pStyle w:val="16"/>
        <w:wordWrap/>
        <w:spacing w:afterLines="0" w:line="360" w:lineRule="auto"/>
        <w:ind w:firstLine="420"/>
        <w:rPr>
          <w:rFonts w:hint="eastAsia" w:ascii="宋体" w:hAnsi="宋体" w:eastAsia="宋体" w:cs="宋体"/>
          <w:b w:val="0"/>
          <w:bCs/>
          <w:color w:val="auto"/>
        </w:rPr>
      </w:pPr>
      <w:r>
        <w:rPr>
          <w:rFonts w:hint="eastAsia" w:cs="宋体"/>
          <w:b w:val="0"/>
          <w:bCs/>
          <w:color w:val="auto"/>
          <w:lang w:val="en-US" w:eastAsia="zh-CN"/>
        </w:rPr>
        <w:t>12</w:t>
      </w:r>
      <w:r>
        <w:rPr>
          <w:rFonts w:hint="eastAsia" w:ascii="宋体" w:hAnsi="宋体" w:eastAsia="宋体" w:cs="宋体"/>
          <w:b w:val="0"/>
          <w:bCs/>
          <w:color w:val="auto"/>
        </w:rPr>
        <w:t>.</w:t>
      </w:r>
      <w:r>
        <w:rPr>
          <w:rFonts w:hint="eastAsia" w:cs="宋体"/>
          <w:b w:val="0"/>
          <w:bCs/>
          <w:color w:val="auto"/>
          <w:lang w:val="en-US" w:eastAsia="zh-CN"/>
        </w:rPr>
        <w:t>接受</w:t>
      </w:r>
      <w:r>
        <w:rPr>
          <w:rFonts w:hint="eastAsia" w:ascii="宋体" w:hAnsi="宋体" w:eastAsia="宋体" w:cs="宋体"/>
          <w:b w:val="0"/>
          <w:bCs/>
          <w:color w:val="auto"/>
        </w:rPr>
        <w:t>采购人</w:t>
      </w:r>
      <w:r>
        <w:rPr>
          <w:rFonts w:hint="eastAsia" w:cs="宋体"/>
          <w:b w:val="0"/>
          <w:bCs/>
          <w:color w:val="auto"/>
          <w:lang w:val="en-US" w:eastAsia="zh-CN"/>
        </w:rPr>
        <w:t>委托司法鉴定、仲裁、诉讼等案件，费用按照</w:t>
      </w:r>
      <w:r>
        <w:rPr>
          <w:rFonts w:hint="eastAsia" w:ascii="宋体" w:hAnsi="宋体" w:eastAsia="宋体" w:cs="宋体"/>
          <w:b w:val="0"/>
          <w:bCs/>
          <w:snapToGrid w:val="0"/>
          <w:color w:val="auto"/>
          <w:spacing w:val="4"/>
          <w:kern w:val="2"/>
          <w:sz w:val="24"/>
          <w:szCs w:val="24"/>
          <w:lang w:val="en-US" w:eastAsia="zh-CN" w:bidi="ar-SA"/>
        </w:rPr>
        <w:t>专项案件代理费</w:t>
      </w:r>
      <w:r>
        <w:rPr>
          <w:rFonts w:hint="eastAsia" w:cs="宋体"/>
          <w:b w:val="0"/>
          <w:bCs/>
          <w:snapToGrid w:val="0"/>
          <w:color w:val="auto"/>
          <w:spacing w:val="4"/>
          <w:kern w:val="2"/>
          <w:sz w:val="24"/>
          <w:szCs w:val="24"/>
          <w:lang w:val="en-US" w:eastAsia="zh-CN" w:bidi="ar-SA"/>
        </w:rPr>
        <w:t>另行支付</w:t>
      </w:r>
      <w:r>
        <w:rPr>
          <w:rFonts w:hint="eastAsia" w:ascii="宋体" w:hAnsi="宋体" w:eastAsia="宋体" w:cs="宋体"/>
          <w:b w:val="0"/>
          <w:bCs/>
          <w:color w:val="auto"/>
        </w:rPr>
        <w:t>。</w:t>
      </w:r>
    </w:p>
    <w:p w14:paraId="02C830C2">
      <w:pPr>
        <w:pStyle w:val="16"/>
        <w:wordWrap/>
        <w:spacing w:afterLines="0" w:line="360" w:lineRule="auto"/>
        <w:ind w:firstLine="420"/>
        <w:rPr>
          <w:rFonts w:hint="eastAsia" w:ascii="宋体" w:hAnsi="宋体" w:eastAsia="宋体" w:cs="宋体"/>
          <w:b w:val="0"/>
          <w:bCs/>
          <w:color w:val="auto"/>
        </w:rPr>
      </w:pPr>
      <w:r>
        <w:rPr>
          <w:rFonts w:hint="eastAsia" w:ascii="宋体" w:hAnsi="宋体" w:eastAsia="宋体" w:cs="宋体"/>
          <w:b w:val="0"/>
          <w:bCs/>
          <w:color w:val="auto"/>
        </w:rPr>
        <w:t>（二）人员要求</w:t>
      </w:r>
    </w:p>
    <w:p w14:paraId="3A2FDBDB">
      <w:pPr>
        <w:pStyle w:val="16"/>
        <w:wordWrap/>
        <w:spacing w:afterLines="0" w:line="360" w:lineRule="auto"/>
        <w:ind w:firstLine="420" w:firstLineChars="0"/>
        <w:rPr>
          <w:rFonts w:hint="eastAsia" w:cs="宋体"/>
          <w:b w:val="0"/>
          <w:bCs/>
          <w:color w:val="auto"/>
          <w:lang w:val="en-US" w:eastAsia="zh-CN"/>
        </w:rPr>
      </w:pPr>
      <w:r>
        <w:rPr>
          <w:rFonts w:hint="eastAsia" w:ascii="宋体" w:hAnsi="宋体" w:eastAsia="宋体" w:cs="宋体"/>
          <w:b w:val="0"/>
          <w:bCs/>
          <w:color w:val="auto"/>
        </w:rPr>
        <w:t>1、</w:t>
      </w:r>
      <w:r>
        <w:rPr>
          <w:rFonts w:hint="eastAsia" w:cs="宋体"/>
          <w:b w:val="0"/>
          <w:bCs/>
          <w:color w:val="auto"/>
          <w:lang w:val="en-US" w:eastAsia="zh-CN"/>
        </w:rPr>
        <w:t>投标人</w:t>
      </w:r>
      <w:r>
        <w:rPr>
          <w:rFonts w:hint="eastAsia" w:ascii="宋体" w:hAnsi="宋体" w:eastAsia="宋体" w:cs="宋体"/>
          <w:b w:val="0"/>
          <w:bCs/>
          <w:color w:val="auto"/>
        </w:rPr>
        <w:t>须推荐</w:t>
      </w:r>
      <w:r>
        <w:rPr>
          <w:rFonts w:hint="eastAsia" w:cs="宋体"/>
          <w:b w:val="0"/>
          <w:bCs/>
          <w:color w:val="auto"/>
          <w:lang w:val="en-US" w:eastAsia="zh-CN"/>
        </w:rPr>
        <w:t>1名律师执业年限的律师，担任本项目法律顾问的主办律师，并具有法律执业资格证书，</w:t>
      </w:r>
      <w:r>
        <w:rPr>
          <w:rFonts w:hint="eastAsia"/>
          <w:color w:val="auto"/>
          <w:lang w:val="en-US" w:eastAsia="zh-CN"/>
        </w:rPr>
        <w:t>优先推荐医疗专业为</w:t>
      </w:r>
      <w:r>
        <w:rPr>
          <w:rFonts w:hint="eastAsia" w:ascii="等线" w:hAnsi="等线" w:eastAsia="等线"/>
          <w:color w:val="auto"/>
          <w:szCs w:val="21"/>
        </w:rPr>
        <w:t>临床医学</w:t>
      </w:r>
      <w:r>
        <w:rPr>
          <w:rFonts w:hint="eastAsia" w:ascii="等线" w:hAnsi="等线"/>
          <w:color w:val="auto"/>
          <w:szCs w:val="21"/>
          <w:lang w:val="en-US" w:eastAsia="zh-CN"/>
        </w:rPr>
        <w:t>或中医学（包括中西医专业）或口腔医学的本科以上，有医师资格证和法律执业资格证的律师作为采购人的主办律师</w:t>
      </w:r>
      <w:r>
        <w:rPr>
          <w:rFonts w:hint="eastAsia"/>
          <w:color w:val="auto"/>
          <w:lang w:eastAsia="zh-CN"/>
        </w:rPr>
        <w:t>。</w:t>
      </w:r>
    </w:p>
    <w:p w14:paraId="2DA796CF">
      <w:pPr>
        <w:pStyle w:val="16"/>
        <w:wordWrap/>
        <w:spacing w:afterLines="0" w:line="360" w:lineRule="auto"/>
        <w:ind w:firstLine="496" w:firstLineChars="200"/>
        <w:rPr>
          <w:rFonts w:hint="eastAsia" w:ascii="宋体" w:hAnsi="宋体" w:eastAsia="宋体" w:cs="宋体"/>
          <w:b w:val="0"/>
          <w:bCs/>
          <w:color w:val="auto"/>
        </w:rPr>
      </w:pPr>
      <w:r>
        <w:rPr>
          <w:rFonts w:hint="eastAsia" w:cs="宋体"/>
          <w:b w:val="0"/>
          <w:bCs/>
          <w:color w:val="auto"/>
          <w:lang w:val="en-US" w:eastAsia="zh-CN"/>
        </w:rPr>
        <w:t>2、推荐</w:t>
      </w:r>
      <w:r>
        <w:rPr>
          <w:rFonts w:hint="eastAsia" w:ascii="宋体" w:hAnsi="宋体" w:eastAsia="宋体" w:cs="宋体"/>
          <w:b w:val="0"/>
          <w:bCs/>
          <w:color w:val="auto"/>
        </w:rPr>
        <w:t>至少2名符合本项目法律顾问律师条件的律师作为拟任法律顾问律师，该团队全部人员均须具有法律执业资格证书</w:t>
      </w:r>
      <w:r>
        <w:rPr>
          <w:rFonts w:hint="eastAsia"/>
          <w:color w:val="auto"/>
          <w:lang w:eastAsia="zh-CN"/>
        </w:rPr>
        <w:t>，</w:t>
      </w:r>
      <w:r>
        <w:rPr>
          <w:rFonts w:hint="eastAsia"/>
          <w:color w:val="auto"/>
          <w:lang w:val="en-US" w:eastAsia="zh-CN"/>
        </w:rPr>
        <w:t>优先推荐医疗专业为</w:t>
      </w:r>
      <w:r>
        <w:rPr>
          <w:rFonts w:hint="eastAsia" w:ascii="等线" w:hAnsi="等线" w:eastAsia="等线"/>
          <w:color w:val="auto"/>
          <w:szCs w:val="21"/>
        </w:rPr>
        <w:t>临床医学</w:t>
      </w:r>
      <w:r>
        <w:rPr>
          <w:rFonts w:hint="eastAsia" w:ascii="等线" w:hAnsi="等线"/>
          <w:color w:val="auto"/>
          <w:szCs w:val="21"/>
          <w:lang w:val="en-US" w:eastAsia="zh-CN"/>
        </w:rPr>
        <w:t>或中医学（包括中西医专业）或口腔医学的本科以上，具有法律执业资格的律师</w:t>
      </w:r>
      <w:r>
        <w:rPr>
          <w:rFonts w:hint="eastAsia" w:ascii="宋体" w:hAnsi="宋体" w:eastAsia="宋体" w:cs="宋体"/>
          <w:b w:val="0"/>
          <w:bCs/>
          <w:color w:val="auto"/>
        </w:rPr>
        <w:t>。（证明文件：须提供拟派律师顾问团队成员的法律执业资格证书复印件加盖投标人公章）</w:t>
      </w:r>
      <w:r>
        <w:rPr>
          <w:rFonts w:hint="eastAsia" w:cs="宋体"/>
          <w:b w:val="0"/>
          <w:bCs/>
          <w:color w:val="auto"/>
          <w:lang w:eastAsia="zh-CN"/>
        </w:rPr>
        <w:t>，</w:t>
      </w:r>
      <w:r>
        <w:rPr>
          <w:rFonts w:hint="eastAsia" w:ascii="宋体" w:hAnsi="宋体" w:eastAsia="宋体" w:cs="宋体"/>
          <w:b w:val="0"/>
          <w:bCs/>
          <w:color w:val="auto"/>
        </w:rPr>
        <w:t>律师事务所的推荐函及承诺拟任法律顾问律师符合本项目要求的承诺为投标文件的有效组成部分。</w:t>
      </w:r>
    </w:p>
    <w:p w14:paraId="7551F0E8">
      <w:pPr>
        <w:pStyle w:val="16"/>
        <w:wordWrap/>
        <w:spacing w:afterLines="0" w:line="360" w:lineRule="auto"/>
        <w:rPr>
          <w:rFonts w:hint="eastAsia" w:ascii="宋体" w:hAnsi="宋体" w:eastAsia="宋体" w:cs="宋体"/>
          <w:b w:val="0"/>
          <w:bCs/>
          <w:color w:val="auto"/>
        </w:rPr>
      </w:pPr>
      <w:r>
        <w:rPr>
          <w:rFonts w:hint="eastAsia" w:ascii="宋体" w:hAnsi="宋体" w:eastAsia="宋体" w:cs="宋体"/>
          <w:b w:val="0"/>
          <w:bCs/>
          <w:color w:val="auto"/>
        </w:rPr>
        <w:t>（三）成果要求</w:t>
      </w:r>
      <w:r>
        <w:rPr>
          <w:rFonts w:hint="eastAsia" w:ascii="宋体" w:hAnsi="宋体" w:eastAsia="宋体" w:cs="宋体"/>
          <w:b w:val="0"/>
          <w:bCs/>
          <w:color w:val="auto"/>
        </w:rPr>
        <w:tab/>
      </w:r>
    </w:p>
    <w:p w14:paraId="2B4818CC">
      <w:pPr>
        <w:pStyle w:val="16"/>
        <w:wordWrap/>
        <w:spacing w:afterLines="0" w:line="360" w:lineRule="auto"/>
        <w:ind w:firstLine="420"/>
        <w:rPr>
          <w:color w:val="auto"/>
        </w:rPr>
      </w:pPr>
      <w:r>
        <w:rPr>
          <w:rFonts w:hint="eastAsia" w:cs="宋体"/>
          <w:b w:val="0"/>
          <w:bCs/>
          <w:color w:val="auto"/>
          <w:lang w:val="en-US" w:eastAsia="zh-CN"/>
        </w:rPr>
        <w:t>服务届满后1个月内为采购人提供一份涉医类法律顾问项目的年度总结报告，内容包括涉采购人的案件处置成果明细、存在问题、整改建议等</w:t>
      </w:r>
      <w:r>
        <w:rPr>
          <w:rFonts w:hint="eastAsia" w:ascii="宋体" w:hAnsi="宋体" w:eastAsia="宋体" w:cs="宋体"/>
          <w:b w:val="0"/>
          <w:bCs/>
          <w:color w:val="auto"/>
        </w:rPr>
        <w:t>。</w:t>
      </w:r>
    </w:p>
    <w:p w14:paraId="580379C8">
      <w:pPr>
        <w:pStyle w:val="16"/>
        <w:wordWrap/>
        <w:spacing w:afterLines="0" w:line="360" w:lineRule="auto"/>
        <w:ind w:firstLine="420"/>
        <w:rPr>
          <w:rFonts w:hint="eastAsia"/>
          <w:color w:val="auto"/>
          <w:lang w:val="en-US" w:eastAsia="zh-CN"/>
        </w:rPr>
      </w:pPr>
      <w:r>
        <w:rPr>
          <w:rFonts w:hint="eastAsia"/>
          <w:color w:val="auto"/>
          <w:lang w:eastAsia="zh-CN"/>
        </w:rPr>
        <w:t>（</w:t>
      </w:r>
      <w:r>
        <w:rPr>
          <w:rFonts w:hint="eastAsia"/>
          <w:color w:val="auto"/>
          <w:lang w:val="en-US" w:eastAsia="zh-CN"/>
        </w:rPr>
        <w:t>四）专项案件代理</w:t>
      </w:r>
    </w:p>
    <w:p w14:paraId="770338EA">
      <w:pPr>
        <w:pStyle w:val="16"/>
        <w:wordWrap/>
        <w:spacing w:afterLines="0" w:line="360" w:lineRule="auto"/>
        <w:ind w:firstLine="420"/>
        <w:rPr>
          <w:rFonts w:hint="eastAsia"/>
          <w:color w:val="auto"/>
          <w:lang w:val="en-US" w:eastAsia="zh-CN"/>
        </w:rPr>
      </w:pPr>
      <w:r>
        <w:rPr>
          <w:rFonts w:hint="eastAsia"/>
          <w:color w:val="auto"/>
          <w:lang w:val="en-US" w:eastAsia="zh-CN"/>
        </w:rPr>
        <w:t xml:space="preserve">  代理采购人的诉讼、鉴定、仲裁类等专项委托，专项代理费用按照《广东省律师服务政府指导标准》收费标准，价格不得超过8折，单个医疗损害诉讼案件仲裁、一审费用报价上限不得超过5万，下限不低于1万元，同时，二审、再审、过程患方变更诉讼标的的，代理费用参照一审费用的50%；医疗损害、事故技术鉴定，每个鉴定程序费用不超过2万元；人民调解且通过司法确认的，单个医疗案件不超过1万元；涉行政复议的，单个医疗案件报价不超过8千元；涉医疗欠费的，单个医疗案件上限不超过6千元。同一案件的二审、再审、再次鉴定、再次行政复议均按一审、首次鉴定、首次行政复议的50%收费。涉及诉讼、鉴定等法律服务按案件性质及复杂程度，双方重新签订委托协议，自签订委托协议后10日内一次性支付。</w:t>
      </w:r>
    </w:p>
    <w:p w14:paraId="03A966F3">
      <w:pPr>
        <w:pStyle w:val="16"/>
        <w:wordWrap/>
        <w:spacing w:afterLines="0" w:line="360" w:lineRule="auto"/>
        <w:ind w:firstLine="420"/>
        <w:rPr>
          <w:rFonts w:hint="eastAsia"/>
          <w:color w:val="auto"/>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9"/>
        <w:gridCol w:w="1781"/>
        <w:gridCol w:w="1984"/>
        <w:gridCol w:w="2278"/>
      </w:tblGrid>
      <w:tr w14:paraId="792D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2695" w:type="dxa"/>
            <w:noWrap w:val="0"/>
            <w:vAlign w:val="center"/>
          </w:tcPr>
          <w:p w14:paraId="3520D3E9">
            <w:pPr>
              <w:pStyle w:val="16"/>
              <w:wordWrap/>
              <w:spacing w:afterLines="0" w:line="360" w:lineRule="auto"/>
              <w:ind w:firstLine="420"/>
              <w:rPr>
                <w:rFonts w:hint="eastAsia"/>
                <w:color w:val="auto"/>
                <w:lang w:val="en-US" w:eastAsia="zh-CN"/>
              </w:rPr>
            </w:pPr>
            <w:r>
              <w:rPr>
                <w:rFonts w:hint="eastAsia"/>
                <w:color w:val="auto"/>
                <w:lang w:val="en-US" w:eastAsia="zh-CN"/>
              </w:rPr>
              <w:t>案件类型</w:t>
            </w:r>
          </w:p>
        </w:tc>
        <w:tc>
          <w:tcPr>
            <w:tcW w:w="1835" w:type="dxa"/>
            <w:noWrap w:val="0"/>
            <w:vAlign w:val="center"/>
          </w:tcPr>
          <w:p w14:paraId="52AAD0D4">
            <w:pPr>
              <w:pStyle w:val="16"/>
              <w:wordWrap/>
              <w:spacing w:afterLines="0" w:line="360" w:lineRule="auto"/>
              <w:ind w:firstLine="420"/>
              <w:rPr>
                <w:rFonts w:hint="eastAsia"/>
                <w:color w:val="auto"/>
                <w:lang w:val="en-US" w:eastAsia="zh-CN"/>
              </w:rPr>
            </w:pPr>
            <w:r>
              <w:rPr>
                <w:rFonts w:hint="eastAsia"/>
                <w:color w:val="auto"/>
                <w:lang w:val="en-US" w:eastAsia="zh-CN"/>
              </w:rPr>
              <w:t>费用</w:t>
            </w:r>
          </w:p>
          <w:p w14:paraId="01405A41">
            <w:pPr>
              <w:pStyle w:val="16"/>
              <w:wordWrap/>
              <w:spacing w:afterLines="0" w:line="360" w:lineRule="auto"/>
              <w:ind w:firstLine="420"/>
              <w:rPr>
                <w:rFonts w:hint="eastAsia"/>
                <w:color w:val="auto"/>
                <w:lang w:val="en-US" w:eastAsia="zh-CN"/>
              </w:rPr>
            </w:pPr>
            <w:r>
              <w:rPr>
                <w:rFonts w:hint="eastAsia"/>
                <w:color w:val="auto"/>
                <w:lang w:val="en-US" w:eastAsia="zh-CN"/>
              </w:rPr>
              <w:t>上限不超过</w:t>
            </w:r>
          </w:p>
        </w:tc>
        <w:tc>
          <w:tcPr>
            <w:tcW w:w="2065" w:type="dxa"/>
            <w:noWrap w:val="0"/>
            <w:vAlign w:val="center"/>
          </w:tcPr>
          <w:p w14:paraId="3ABAE104">
            <w:pPr>
              <w:pStyle w:val="16"/>
              <w:wordWrap/>
              <w:spacing w:afterLines="0" w:line="360" w:lineRule="auto"/>
              <w:ind w:firstLine="420"/>
              <w:rPr>
                <w:rFonts w:hint="eastAsia"/>
                <w:color w:val="auto"/>
                <w:lang w:val="en-US" w:eastAsia="zh-CN"/>
              </w:rPr>
            </w:pPr>
            <w:r>
              <w:rPr>
                <w:rFonts w:hint="eastAsia"/>
                <w:color w:val="auto"/>
                <w:lang w:val="en-US" w:eastAsia="zh-CN"/>
              </w:rPr>
              <w:t>费用</w:t>
            </w:r>
          </w:p>
          <w:p w14:paraId="2C84B3A9">
            <w:pPr>
              <w:pStyle w:val="16"/>
              <w:wordWrap/>
              <w:spacing w:afterLines="0" w:line="360" w:lineRule="auto"/>
              <w:ind w:firstLine="420"/>
              <w:rPr>
                <w:rFonts w:hint="eastAsia"/>
                <w:color w:val="auto"/>
                <w:lang w:val="en-US" w:eastAsia="zh-CN"/>
              </w:rPr>
            </w:pPr>
            <w:r>
              <w:rPr>
                <w:rFonts w:hint="eastAsia"/>
                <w:color w:val="auto"/>
                <w:lang w:val="en-US" w:eastAsia="zh-CN"/>
              </w:rPr>
              <w:t>下限不超过</w:t>
            </w:r>
          </w:p>
        </w:tc>
        <w:tc>
          <w:tcPr>
            <w:tcW w:w="2466" w:type="dxa"/>
            <w:noWrap w:val="0"/>
            <w:vAlign w:val="center"/>
          </w:tcPr>
          <w:p w14:paraId="7DA00E6F">
            <w:pPr>
              <w:pStyle w:val="16"/>
              <w:wordWrap/>
              <w:spacing w:afterLines="0" w:line="360" w:lineRule="auto"/>
              <w:ind w:firstLine="420"/>
              <w:rPr>
                <w:rFonts w:hint="eastAsia"/>
                <w:color w:val="auto"/>
                <w:lang w:val="en-US" w:eastAsia="zh-CN"/>
              </w:rPr>
            </w:pPr>
            <w:r>
              <w:rPr>
                <w:rFonts w:hint="eastAsia"/>
                <w:color w:val="auto"/>
                <w:lang w:val="en-US" w:eastAsia="zh-CN"/>
              </w:rPr>
              <w:t>备注</w:t>
            </w:r>
          </w:p>
        </w:tc>
      </w:tr>
      <w:tr w14:paraId="6D1F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695" w:type="dxa"/>
            <w:noWrap w:val="0"/>
            <w:vAlign w:val="center"/>
          </w:tcPr>
          <w:p w14:paraId="07A8AB4B">
            <w:pPr>
              <w:pStyle w:val="16"/>
              <w:wordWrap/>
              <w:spacing w:afterLines="0" w:line="360" w:lineRule="auto"/>
              <w:ind w:firstLine="420"/>
              <w:rPr>
                <w:rFonts w:hint="eastAsia"/>
                <w:color w:val="auto"/>
                <w:lang w:val="en-US" w:eastAsia="zh-CN"/>
              </w:rPr>
            </w:pPr>
            <w:r>
              <w:rPr>
                <w:rFonts w:hint="eastAsia"/>
                <w:color w:val="auto"/>
                <w:lang w:val="en-US" w:eastAsia="zh-CN"/>
              </w:rPr>
              <w:t>一审/仲裁</w:t>
            </w:r>
          </w:p>
        </w:tc>
        <w:tc>
          <w:tcPr>
            <w:tcW w:w="1835" w:type="dxa"/>
            <w:noWrap w:val="0"/>
            <w:vAlign w:val="center"/>
          </w:tcPr>
          <w:p w14:paraId="74E139F0">
            <w:pPr>
              <w:pStyle w:val="16"/>
              <w:wordWrap/>
              <w:spacing w:afterLines="0" w:line="360" w:lineRule="auto"/>
              <w:ind w:firstLine="420"/>
              <w:rPr>
                <w:rFonts w:hint="eastAsia"/>
                <w:color w:val="auto"/>
                <w:lang w:val="en-US" w:eastAsia="zh-CN"/>
              </w:rPr>
            </w:pPr>
            <w:r>
              <w:rPr>
                <w:rFonts w:hint="eastAsia"/>
                <w:color w:val="auto"/>
                <w:lang w:val="en-US" w:eastAsia="zh-CN"/>
              </w:rPr>
              <w:t>50,000元/宗</w:t>
            </w:r>
          </w:p>
        </w:tc>
        <w:tc>
          <w:tcPr>
            <w:tcW w:w="2065" w:type="dxa"/>
            <w:noWrap w:val="0"/>
            <w:vAlign w:val="center"/>
          </w:tcPr>
          <w:p w14:paraId="5289A6A9">
            <w:pPr>
              <w:pStyle w:val="16"/>
              <w:wordWrap/>
              <w:spacing w:afterLines="0" w:line="360" w:lineRule="auto"/>
              <w:ind w:firstLine="420"/>
              <w:rPr>
                <w:rFonts w:hint="eastAsia"/>
                <w:color w:val="auto"/>
                <w:lang w:val="en-US" w:eastAsia="zh-CN"/>
              </w:rPr>
            </w:pPr>
            <w:r>
              <w:rPr>
                <w:rFonts w:hint="eastAsia"/>
                <w:color w:val="auto"/>
                <w:lang w:val="en-US" w:eastAsia="zh-CN"/>
              </w:rPr>
              <w:t>10,000元/宗</w:t>
            </w:r>
          </w:p>
        </w:tc>
        <w:tc>
          <w:tcPr>
            <w:tcW w:w="2466" w:type="dxa"/>
            <w:noWrap w:val="0"/>
            <w:vAlign w:val="center"/>
          </w:tcPr>
          <w:p w14:paraId="3D58C3ED">
            <w:pPr>
              <w:pStyle w:val="16"/>
              <w:wordWrap/>
              <w:spacing w:afterLines="0" w:line="360" w:lineRule="auto"/>
              <w:ind w:firstLine="420"/>
              <w:rPr>
                <w:rFonts w:hint="eastAsia"/>
                <w:color w:val="auto"/>
                <w:lang w:val="en-US" w:eastAsia="zh-CN"/>
              </w:rPr>
            </w:pPr>
          </w:p>
        </w:tc>
      </w:tr>
      <w:tr w14:paraId="31F8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noWrap w:val="0"/>
            <w:vAlign w:val="center"/>
          </w:tcPr>
          <w:p w14:paraId="71A2AF1C">
            <w:pPr>
              <w:pStyle w:val="16"/>
              <w:wordWrap/>
              <w:spacing w:afterLines="0" w:line="360" w:lineRule="auto"/>
              <w:ind w:firstLine="420"/>
              <w:rPr>
                <w:rFonts w:hint="eastAsia"/>
                <w:color w:val="auto"/>
                <w:lang w:val="en-US" w:eastAsia="zh-CN"/>
              </w:rPr>
            </w:pPr>
            <w:r>
              <w:rPr>
                <w:rFonts w:hint="eastAsia"/>
                <w:color w:val="auto"/>
                <w:lang w:val="en-US" w:eastAsia="zh-CN"/>
              </w:rPr>
              <w:t>二审/再审/执行</w:t>
            </w:r>
          </w:p>
        </w:tc>
        <w:tc>
          <w:tcPr>
            <w:tcW w:w="1835" w:type="dxa"/>
            <w:noWrap w:val="0"/>
            <w:vAlign w:val="center"/>
          </w:tcPr>
          <w:p w14:paraId="11289FA8">
            <w:pPr>
              <w:pStyle w:val="16"/>
              <w:wordWrap/>
              <w:spacing w:afterLines="0" w:line="360" w:lineRule="auto"/>
              <w:ind w:firstLine="420"/>
              <w:rPr>
                <w:rFonts w:hint="eastAsia"/>
                <w:color w:val="auto"/>
                <w:lang w:val="en-US" w:eastAsia="zh-CN"/>
              </w:rPr>
            </w:pPr>
            <w:r>
              <w:rPr>
                <w:rFonts w:hint="eastAsia"/>
                <w:color w:val="auto"/>
                <w:lang w:val="en-US" w:eastAsia="zh-CN"/>
              </w:rPr>
              <w:t>一审费用的50%</w:t>
            </w:r>
          </w:p>
        </w:tc>
        <w:tc>
          <w:tcPr>
            <w:tcW w:w="2065" w:type="dxa"/>
            <w:noWrap w:val="0"/>
            <w:vAlign w:val="center"/>
          </w:tcPr>
          <w:p w14:paraId="5240AC7A">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466" w:type="dxa"/>
            <w:noWrap w:val="0"/>
            <w:vAlign w:val="center"/>
          </w:tcPr>
          <w:p w14:paraId="2CC6CCAC">
            <w:pPr>
              <w:pStyle w:val="16"/>
              <w:wordWrap/>
              <w:spacing w:afterLines="0" w:line="360" w:lineRule="auto"/>
              <w:ind w:firstLine="420"/>
              <w:rPr>
                <w:rFonts w:hint="eastAsia"/>
                <w:color w:val="auto"/>
                <w:lang w:val="en-US" w:eastAsia="zh-CN"/>
              </w:rPr>
            </w:pPr>
            <w:r>
              <w:rPr>
                <w:rFonts w:hint="eastAsia"/>
                <w:color w:val="auto"/>
                <w:lang w:val="en-US" w:eastAsia="zh-CN"/>
              </w:rPr>
              <w:t>/</w:t>
            </w:r>
          </w:p>
        </w:tc>
      </w:tr>
      <w:tr w14:paraId="6F5F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noWrap w:val="0"/>
            <w:vAlign w:val="center"/>
          </w:tcPr>
          <w:p w14:paraId="759EAA51">
            <w:pPr>
              <w:pStyle w:val="16"/>
              <w:wordWrap/>
              <w:spacing w:afterLines="0" w:line="360" w:lineRule="auto"/>
              <w:ind w:firstLine="420"/>
              <w:rPr>
                <w:rFonts w:hint="eastAsia"/>
                <w:color w:val="auto"/>
                <w:lang w:val="en-US" w:eastAsia="zh-CN"/>
              </w:rPr>
            </w:pPr>
            <w:r>
              <w:rPr>
                <w:rFonts w:hint="eastAsia"/>
                <w:color w:val="auto"/>
                <w:lang w:val="en-US" w:eastAsia="zh-CN"/>
              </w:rPr>
              <w:t>医疗损害/事故鉴定</w:t>
            </w:r>
          </w:p>
        </w:tc>
        <w:tc>
          <w:tcPr>
            <w:tcW w:w="1835" w:type="dxa"/>
            <w:noWrap w:val="0"/>
            <w:vAlign w:val="center"/>
          </w:tcPr>
          <w:p w14:paraId="03988A28">
            <w:pPr>
              <w:pStyle w:val="16"/>
              <w:wordWrap/>
              <w:spacing w:afterLines="0" w:line="360" w:lineRule="auto"/>
              <w:ind w:firstLine="420"/>
              <w:rPr>
                <w:rFonts w:hint="eastAsia"/>
                <w:color w:val="auto"/>
                <w:lang w:val="en-US" w:eastAsia="zh-CN"/>
              </w:rPr>
            </w:pPr>
            <w:r>
              <w:rPr>
                <w:rFonts w:hint="eastAsia"/>
                <w:color w:val="auto"/>
                <w:lang w:val="en-US" w:eastAsia="zh-CN"/>
              </w:rPr>
              <w:t>20000元/宗</w:t>
            </w:r>
          </w:p>
        </w:tc>
        <w:tc>
          <w:tcPr>
            <w:tcW w:w="2065" w:type="dxa"/>
            <w:noWrap w:val="0"/>
            <w:vAlign w:val="center"/>
          </w:tcPr>
          <w:p w14:paraId="1D66E100">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466" w:type="dxa"/>
            <w:noWrap w:val="0"/>
            <w:vAlign w:val="center"/>
          </w:tcPr>
          <w:p w14:paraId="0145889F">
            <w:pPr>
              <w:pStyle w:val="16"/>
              <w:wordWrap/>
              <w:spacing w:afterLines="0" w:line="360" w:lineRule="auto"/>
              <w:ind w:firstLine="420"/>
              <w:rPr>
                <w:rFonts w:hint="eastAsia"/>
                <w:color w:val="auto"/>
                <w:lang w:val="en-US" w:eastAsia="zh-CN"/>
              </w:rPr>
            </w:pPr>
            <w:r>
              <w:rPr>
                <w:rFonts w:hint="eastAsia"/>
                <w:color w:val="auto"/>
                <w:lang w:val="en-US" w:eastAsia="zh-CN"/>
              </w:rPr>
              <w:t>/</w:t>
            </w:r>
          </w:p>
        </w:tc>
      </w:tr>
      <w:tr w14:paraId="6E24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noWrap w:val="0"/>
            <w:vAlign w:val="center"/>
          </w:tcPr>
          <w:p w14:paraId="6F8EA4D0">
            <w:pPr>
              <w:pStyle w:val="16"/>
              <w:wordWrap/>
              <w:spacing w:afterLines="0" w:line="360" w:lineRule="auto"/>
              <w:ind w:firstLine="420"/>
              <w:rPr>
                <w:rFonts w:hint="eastAsia"/>
                <w:color w:val="auto"/>
                <w:lang w:val="en-US" w:eastAsia="zh-CN"/>
              </w:rPr>
            </w:pPr>
            <w:r>
              <w:rPr>
                <w:rFonts w:hint="eastAsia"/>
                <w:color w:val="auto"/>
                <w:lang w:val="en-US" w:eastAsia="zh-CN"/>
              </w:rPr>
              <w:t>再次鉴定</w:t>
            </w:r>
          </w:p>
        </w:tc>
        <w:tc>
          <w:tcPr>
            <w:tcW w:w="1835" w:type="dxa"/>
            <w:noWrap w:val="0"/>
            <w:vAlign w:val="center"/>
          </w:tcPr>
          <w:p w14:paraId="3E7EEB80">
            <w:pPr>
              <w:pStyle w:val="16"/>
              <w:wordWrap/>
              <w:spacing w:afterLines="0" w:line="360" w:lineRule="auto"/>
              <w:ind w:firstLine="420"/>
              <w:rPr>
                <w:rFonts w:hint="eastAsia"/>
                <w:color w:val="auto"/>
                <w:lang w:val="en-US" w:eastAsia="zh-CN"/>
              </w:rPr>
            </w:pPr>
            <w:r>
              <w:rPr>
                <w:rFonts w:hint="eastAsia"/>
                <w:color w:val="auto"/>
                <w:lang w:val="en-US" w:eastAsia="zh-CN"/>
              </w:rPr>
              <w:t>10000元/宗</w:t>
            </w:r>
          </w:p>
        </w:tc>
        <w:tc>
          <w:tcPr>
            <w:tcW w:w="2065" w:type="dxa"/>
            <w:noWrap w:val="0"/>
            <w:vAlign w:val="center"/>
          </w:tcPr>
          <w:p w14:paraId="2F9DF26B">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466" w:type="dxa"/>
            <w:noWrap w:val="0"/>
            <w:vAlign w:val="center"/>
          </w:tcPr>
          <w:p w14:paraId="36F0872F">
            <w:pPr>
              <w:pStyle w:val="16"/>
              <w:wordWrap/>
              <w:spacing w:afterLines="0" w:line="360" w:lineRule="auto"/>
              <w:ind w:firstLine="420"/>
              <w:rPr>
                <w:rFonts w:hint="eastAsia"/>
                <w:color w:val="auto"/>
                <w:lang w:val="en-US" w:eastAsia="zh-CN"/>
              </w:rPr>
            </w:pPr>
            <w:r>
              <w:rPr>
                <w:rFonts w:hint="eastAsia"/>
                <w:color w:val="auto"/>
                <w:lang w:val="en-US" w:eastAsia="zh-CN"/>
              </w:rPr>
              <w:t>/</w:t>
            </w:r>
          </w:p>
        </w:tc>
      </w:tr>
      <w:tr w14:paraId="4608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noWrap w:val="0"/>
            <w:vAlign w:val="center"/>
          </w:tcPr>
          <w:p w14:paraId="44368FFC">
            <w:pPr>
              <w:pStyle w:val="16"/>
              <w:wordWrap/>
              <w:spacing w:afterLines="0" w:line="360" w:lineRule="auto"/>
              <w:ind w:firstLine="420"/>
              <w:rPr>
                <w:rFonts w:hint="eastAsia"/>
                <w:color w:val="auto"/>
                <w:lang w:val="en-US" w:eastAsia="zh-CN"/>
              </w:rPr>
            </w:pPr>
            <w:r>
              <w:rPr>
                <w:rFonts w:hint="eastAsia"/>
                <w:color w:val="auto"/>
                <w:lang w:val="en-US" w:eastAsia="zh-CN"/>
              </w:rPr>
              <w:t>行政复议</w:t>
            </w:r>
          </w:p>
        </w:tc>
        <w:tc>
          <w:tcPr>
            <w:tcW w:w="1835" w:type="dxa"/>
            <w:noWrap w:val="0"/>
            <w:vAlign w:val="center"/>
          </w:tcPr>
          <w:p w14:paraId="3759AC68">
            <w:pPr>
              <w:pStyle w:val="16"/>
              <w:wordWrap/>
              <w:spacing w:afterLines="0" w:line="360" w:lineRule="auto"/>
              <w:ind w:firstLine="420"/>
              <w:rPr>
                <w:rFonts w:hint="eastAsia"/>
                <w:color w:val="auto"/>
                <w:lang w:val="en-US" w:eastAsia="zh-CN"/>
              </w:rPr>
            </w:pPr>
            <w:r>
              <w:rPr>
                <w:rFonts w:hint="eastAsia"/>
                <w:color w:val="auto"/>
                <w:lang w:val="en-US" w:eastAsia="zh-CN"/>
              </w:rPr>
              <w:t>8,000元/宗</w:t>
            </w:r>
          </w:p>
        </w:tc>
        <w:tc>
          <w:tcPr>
            <w:tcW w:w="2065" w:type="dxa"/>
            <w:noWrap w:val="0"/>
            <w:vAlign w:val="center"/>
          </w:tcPr>
          <w:p w14:paraId="44496CA4">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466" w:type="dxa"/>
            <w:noWrap w:val="0"/>
            <w:vAlign w:val="center"/>
          </w:tcPr>
          <w:p w14:paraId="23794DC0">
            <w:pPr>
              <w:pStyle w:val="16"/>
              <w:wordWrap/>
              <w:spacing w:afterLines="0" w:line="360" w:lineRule="auto"/>
              <w:ind w:firstLine="420"/>
              <w:rPr>
                <w:rFonts w:hint="eastAsia"/>
                <w:color w:val="auto"/>
                <w:lang w:val="en-US" w:eastAsia="zh-CN"/>
              </w:rPr>
            </w:pPr>
            <w:r>
              <w:rPr>
                <w:rFonts w:hint="eastAsia"/>
                <w:color w:val="auto"/>
                <w:lang w:val="en-US" w:eastAsia="zh-CN"/>
              </w:rPr>
              <w:t>/</w:t>
            </w:r>
          </w:p>
        </w:tc>
      </w:tr>
      <w:tr w14:paraId="3CD4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5" w:type="dxa"/>
            <w:noWrap w:val="0"/>
            <w:vAlign w:val="center"/>
          </w:tcPr>
          <w:p w14:paraId="3748219D">
            <w:pPr>
              <w:pStyle w:val="16"/>
              <w:wordWrap/>
              <w:spacing w:afterLines="0" w:line="360" w:lineRule="auto"/>
              <w:ind w:firstLine="420"/>
              <w:rPr>
                <w:rFonts w:hint="eastAsia"/>
                <w:color w:val="auto"/>
                <w:lang w:val="en-US" w:eastAsia="zh-CN"/>
              </w:rPr>
            </w:pPr>
            <w:r>
              <w:rPr>
                <w:rFonts w:hint="eastAsia"/>
                <w:color w:val="auto"/>
                <w:lang w:val="en-US" w:eastAsia="zh-CN"/>
              </w:rPr>
              <w:t>再次行政复议</w:t>
            </w:r>
          </w:p>
        </w:tc>
        <w:tc>
          <w:tcPr>
            <w:tcW w:w="1835" w:type="dxa"/>
            <w:noWrap w:val="0"/>
            <w:vAlign w:val="center"/>
          </w:tcPr>
          <w:p w14:paraId="453B7931">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065" w:type="dxa"/>
            <w:noWrap w:val="0"/>
            <w:vAlign w:val="center"/>
          </w:tcPr>
          <w:p w14:paraId="434A1C2B">
            <w:pPr>
              <w:pStyle w:val="16"/>
              <w:wordWrap/>
              <w:spacing w:afterLines="0" w:line="360" w:lineRule="auto"/>
              <w:ind w:firstLine="420"/>
              <w:rPr>
                <w:rFonts w:hint="eastAsia"/>
                <w:color w:val="auto"/>
                <w:lang w:val="en-US" w:eastAsia="zh-CN"/>
              </w:rPr>
            </w:pPr>
            <w:r>
              <w:rPr>
                <w:rFonts w:hint="eastAsia"/>
                <w:color w:val="auto"/>
                <w:lang w:val="en-US" w:eastAsia="zh-CN"/>
              </w:rPr>
              <w:t>首次的50%</w:t>
            </w:r>
          </w:p>
        </w:tc>
        <w:tc>
          <w:tcPr>
            <w:tcW w:w="2466" w:type="dxa"/>
            <w:noWrap w:val="0"/>
            <w:vAlign w:val="center"/>
          </w:tcPr>
          <w:p w14:paraId="64ED7B60">
            <w:pPr>
              <w:pStyle w:val="16"/>
              <w:wordWrap/>
              <w:spacing w:afterLines="0" w:line="360" w:lineRule="auto"/>
              <w:ind w:firstLine="420"/>
              <w:rPr>
                <w:rFonts w:hint="eastAsia"/>
                <w:color w:val="auto"/>
                <w:lang w:val="en-US" w:eastAsia="zh-CN"/>
              </w:rPr>
            </w:pPr>
            <w:r>
              <w:rPr>
                <w:rFonts w:hint="eastAsia"/>
                <w:color w:val="auto"/>
                <w:lang w:val="en-US" w:eastAsia="zh-CN"/>
              </w:rPr>
              <w:t>/</w:t>
            </w:r>
          </w:p>
        </w:tc>
      </w:tr>
      <w:tr w14:paraId="69B3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695" w:type="dxa"/>
            <w:noWrap w:val="0"/>
            <w:vAlign w:val="center"/>
          </w:tcPr>
          <w:p w14:paraId="7C4F5232">
            <w:pPr>
              <w:pStyle w:val="16"/>
              <w:wordWrap/>
              <w:spacing w:afterLines="0" w:line="360" w:lineRule="auto"/>
              <w:ind w:firstLine="420"/>
              <w:rPr>
                <w:rFonts w:hint="eastAsia"/>
                <w:color w:val="auto"/>
                <w:lang w:val="en-US" w:eastAsia="zh-CN"/>
              </w:rPr>
            </w:pPr>
            <w:r>
              <w:rPr>
                <w:rFonts w:hint="eastAsia"/>
                <w:color w:val="auto"/>
                <w:lang w:val="en-US" w:eastAsia="zh-CN"/>
              </w:rPr>
              <w:t>医疗欠费</w:t>
            </w:r>
          </w:p>
        </w:tc>
        <w:tc>
          <w:tcPr>
            <w:tcW w:w="1835" w:type="dxa"/>
            <w:noWrap w:val="0"/>
            <w:vAlign w:val="center"/>
          </w:tcPr>
          <w:p w14:paraId="2994365C">
            <w:pPr>
              <w:pStyle w:val="16"/>
              <w:wordWrap/>
              <w:spacing w:afterLines="0" w:line="360" w:lineRule="auto"/>
              <w:ind w:firstLine="420"/>
              <w:rPr>
                <w:rFonts w:hint="eastAsia"/>
                <w:color w:val="auto"/>
                <w:lang w:val="en-US" w:eastAsia="zh-CN"/>
              </w:rPr>
            </w:pPr>
            <w:r>
              <w:rPr>
                <w:rFonts w:hint="eastAsia"/>
                <w:color w:val="auto"/>
                <w:lang w:val="en-US" w:eastAsia="zh-CN"/>
              </w:rPr>
              <w:t>6000元/宗</w:t>
            </w:r>
          </w:p>
        </w:tc>
        <w:tc>
          <w:tcPr>
            <w:tcW w:w="2065" w:type="dxa"/>
            <w:noWrap w:val="0"/>
            <w:vAlign w:val="center"/>
          </w:tcPr>
          <w:p w14:paraId="79D573ED">
            <w:pPr>
              <w:pStyle w:val="16"/>
              <w:wordWrap/>
              <w:spacing w:afterLines="0" w:line="360" w:lineRule="auto"/>
              <w:ind w:firstLine="420"/>
              <w:rPr>
                <w:rFonts w:hint="eastAsia"/>
                <w:color w:val="auto"/>
                <w:lang w:val="en-US" w:eastAsia="zh-CN"/>
              </w:rPr>
            </w:pPr>
            <w:r>
              <w:rPr>
                <w:rFonts w:hint="eastAsia"/>
                <w:color w:val="auto"/>
                <w:lang w:val="en-US" w:eastAsia="zh-CN"/>
              </w:rPr>
              <w:t>/</w:t>
            </w:r>
          </w:p>
        </w:tc>
        <w:tc>
          <w:tcPr>
            <w:tcW w:w="2466" w:type="dxa"/>
            <w:noWrap w:val="0"/>
            <w:vAlign w:val="center"/>
          </w:tcPr>
          <w:p w14:paraId="043BBFE0">
            <w:pPr>
              <w:pStyle w:val="16"/>
              <w:wordWrap/>
              <w:spacing w:afterLines="0" w:line="360" w:lineRule="auto"/>
              <w:ind w:firstLine="420"/>
              <w:rPr>
                <w:rFonts w:hint="eastAsia"/>
                <w:color w:val="auto"/>
                <w:lang w:val="en-US" w:eastAsia="zh-CN"/>
              </w:rPr>
            </w:pPr>
            <w:r>
              <w:rPr>
                <w:rFonts w:hint="eastAsia"/>
                <w:color w:val="auto"/>
                <w:lang w:val="en-US" w:eastAsia="zh-CN"/>
              </w:rPr>
              <w:t>/</w:t>
            </w:r>
          </w:p>
        </w:tc>
      </w:tr>
    </w:tbl>
    <w:p w14:paraId="530C5A9D">
      <w:pPr>
        <w:pStyle w:val="16"/>
        <w:wordWrap/>
        <w:spacing w:afterLines="0" w:line="360" w:lineRule="auto"/>
        <w:ind w:firstLine="420"/>
        <w:rPr>
          <w:rFonts w:hint="default" w:ascii="宋体" w:hAnsi="宋体" w:eastAsia="宋体" w:cs="宋体"/>
          <w:b w:val="0"/>
          <w:bCs/>
          <w:color w:val="auto"/>
          <w:lang w:val="en-US"/>
        </w:rPr>
      </w:pPr>
    </w:p>
    <w:p w14:paraId="522F6A17">
      <w:pPr>
        <w:numPr>
          <w:ilvl w:val="0"/>
          <w:numId w:val="6"/>
        </w:numPr>
        <w:ind w:left="425" w:leftChars="0" w:hanging="425" w:firstLineChars="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商务要求：</w:t>
      </w:r>
    </w:p>
    <w:p w14:paraId="3B032CA3">
      <w:pPr>
        <w:numPr>
          <w:ilvl w:val="0"/>
          <w:numId w:val="7"/>
        </w:numPr>
        <w:ind w:left="425" w:leftChars="0" w:hanging="425" w:firstLineChars="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服务期（天）</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u w:val="single"/>
        </w:rPr>
        <w:t xml:space="preserve"> </w:t>
      </w:r>
      <w:r>
        <w:rPr>
          <w:rFonts w:hint="eastAsia" w:ascii="宋体" w:hAnsi="宋体"/>
          <w:bCs/>
          <w:color w:val="auto"/>
          <w:szCs w:val="21"/>
        </w:rPr>
        <w:t>本项目服务期1年。本项目合同期期满后，采购人将根据第一年的项目执行情况，决定续签下一年度合同，最多可续签2次，每一次1年，即延期至满3年</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w:t>
      </w:r>
    </w:p>
    <w:p w14:paraId="3F500228">
      <w:pPr>
        <w:numPr>
          <w:ilvl w:val="0"/>
          <w:numId w:val="7"/>
        </w:numPr>
        <w:ind w:left="425" w:leftChars="0" w:hanging="425" w:firstLineChars="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付款进度和方式：</w:t>
      </w:r>
    </w:p>
    <w:p w14:paraId="4832F3C4">
      <w:pPr>
        <w:ind w:firstLine="496" w:firstLineChars="200"/>
        <w:rPr>
          <w:rFonts w:hint="eastAsia" w:ascii="宋体" w:hAnsi="宋体" w:eastAsia="宋体" w:cs="宋体"/>
          <w:b w:val="0"/>
          <w:bCs/>
          <w:snapToGrid w:val="0"/>
          <w:color w:val="auto"/>
          <w:spacing w:val="4"/>
          <w:kern w:val="2"/>
          <w:sz w:val="24"/>
          <w:szCs w:val="24"/>
          <w:lang w:val="en-US" w:eastAsia="zh-CN" w:bidi="ar-SA"/>
        </w:rPr>
      </w:pPr>
      <w:r>
        <w:rPr>
          <w:rFonts w:hint="eastAsia" w:ascii="宋体" w:hAnsi="宋体" w:eastAsia="宋体" w:cs="宋体"/>
          <w:b w:val="0"/>
          <w:bCs/>
          <w:snapToGrid w:val="0"/>
          <w:color w:val="auto"/>
          <w:spacing w:val="4"/>
          <w:kern w:val="2"/>
          <w:sz w:val="24"/>
          <w:szCs w:val="24"/>
          <w:lang w:val="en-US" w:eastAsia="zh-CN" w:bidi="ar-SA"/>
        </w:rPr>
        <w:t>1、年度顾问费</w:t>
      </w:r>
    </w:p>
    <w:p w14:paraId="2151F287">
      <w:pPr>
        <w:ind w:firstLine="496" w:firstLineChars="200"/>
        <w:rPr>
          <w:rFonts w:hint="eastAsia" w:ascii="宋体" w:hAnsi="宋体" w:eastAsia="宋体" w:cs="宋体"/>
          <w:b w:val="0"/>
          <w:bCs/>
          <w:snapToGrid w:val="0"/>
          <w:color w:val="auto"/>
          <w:spacing w:val="4"/>
          <w:kern w:val="2"/>
          <w:sz w:val="24"/>
          <w:szCs w:val="24"/>
          <w:lang w:val="en-US" w:eastAsia="zh-CN" w:bidi="ar-SA"/>
        </w:rPr>
      </w:pPr>
      <w:r>
        <w:rPr>
          <w:rFonts w:hint="eastAsia" w:ascii="宋体" w:hAnsi="宋体" w:eastAsia="宋体" w:cs="宋体"/>
          <w:b w:val="0"/>
          <w:bCs/>
          <w:snapToGrid w:val="0"/>
          <w:color w:val="auto"/>
          <w:spacing w:val="4"/>
          <w:kern w:val="2"/>
          <w:sz w:val="24"/>
          <w:szCs w:val="24"/>
          <w:lang w:val="en-US" w:eastAsia="zh-CN" w:bidi="ar-SA"/>
        </w:rPr>
        <w:t>涉医类专项法律顾问服务合同签订之日起10日内支付首期款，首期款支付合同约定总费用的50%；尾款自合同履行完毕后一次性付清。中标方应按照采购人要求出具相应金额的有效发票。</w:t>
      </w:r>
    </w:p>
    <w:p w14:paraId="711BB58E">
      <w:pPr>
        <w:ind w:firstLine="496" w:firstLineChars="200"/>
        <w:rPr>
          <w:rFonts w:hint="eastAsia" w:ascii="宋体" w:hAnsi="宋体" w:eastAsia="宋体" w:cs="宋体"/>
          <w:b w:val="0"/>
          <w:bCs/>
          <w:snapToGrid w:val="0"/>
          <w:color w:val="auto"/>
          <w:spacing w:val="4"/>
          <w:kern w:val="2"/>
          <w:sz w:val="24"/>
          <w:szCs w:val="24"/>
          <w:lang w:val="en-US" w:eastAsia="zh-CN" w:bidi="ar-SA"/>
        </w:rPr>
      </w:pPr>
    </w:p>
    <w:p w14:paraId="2B49165C">
      <w:pPr>
        <w:numPr>
          <w:ilvl w:val="0"/>
          <w:numId w:val="8"/>
        </w:numPr>
        <w:ind w:firstLine="496" w:firstLineChars="200"/>
        <w:rPr>
          <w:rFonts w:hint="eastAsia" w:ascii="宋体" w:hAnsi="宋体" w:eastAsia="宋体" w:cs="宋体"/>
          <w:b w:val="0"/>
          <w:bCs/>
          <w:snapToGrid w:val="0"/>
          <w:color w:val="auto"/>
          <w:spacing w:val="4"/>
          <w:kern w:val="2"/>
          <w:sz w:val="24"/>
          <w:szCs w:val="24"/>
          <w:lang w:val="en-US" w:eastAsia="zh-CN" w:bidi="ar-SA"/>
        </w:rPr>
      </w:pPr>
      <w:r>
        <w:rPr>
          <w:rFonts w:hint="eastAsia" w:ascii="宋体" w:hAnsi="宋体" w:eastAsia="宋体" w:cs="宋体"/>
          <w:b w:val="0"/>
          <w:bCs/>
          <w:snapToGrid w:val="0"/>
          <w:color w:val="auto"/>
          <w:spacing w:val="4"/>
          <w:kern w:val="2"/>
          <w:sz w:val="24"/>
          <w:szCs w:val="24"/>
          <w:lang w:val="en-US" w:eastAsia="zh-CN" w:bidi="ar-SA"/>
        </w:rPr>
        <w:t>专项案件代理费（另行支付）</w:t>
      </w:r>
    </w:p>
    <w:p w14:paraId="1BF8B158">
      <w:pPr>
        <w:numPr>
          <w:ilvl w:val="0"/>
          <w:numId w:val="0"/>
        </w:numPr>
        <w:ind w:leftChars="0"/>
        <w:jc w:val="left"/>
        <w:rPr>
          <w:rFonts w:hint="eastAsia" w:ascii="仿宋_GB2312" w:hAnsi="仿宋_GB2312" w:eastAsia="仿宋_GB2312" w:cs="仿宋_GB2312"/>
          <w:color w:val="auto"/>
          <w:sz w:val="28"/>
          <w:szCs w:val="28"/>
        </w:rPr>
      </w:pPr>
      <w:r>
        <w:rPr>
          <w:rFonts w:hint="eastAsia" w:ascii="宋体" w:hAnsi="宋体" w:eastAsia="宋体" w:cs="宋体"/>
          <w:b w:val="0"/>
          <w:bCs/>
          <w:snapToGrid w:val="0"/>
          <w:color w:val="auto"/>
          <w:spacing w:val="4"/>
          <w:kern w:val="2"/>
          <w:sz w:val="24"/>
          <w:szCs w:val="24"/>
          <w:lang w:val="en-US" w:eastAsia="zh-CN" w:bidi="ar-SA"/>
        </w:rPr>
        <w:t xml:space="preserve">    涉及诉讼、鉴定等法律服务按案件性质及复杂程度，双方重新签订委托协议，自签订委托协议后10日内一次性支付。</w:t>
      </w:r>
    </w:p>
    <w:p w14:paraId="4137109A">
      <w:pPr>
        <w:pStyle w:val="2"/>
        <w:numPr>
          <w:ilvl w:val="0"/>
          <w:numId w:val="0"/>
        </w:numPr>
        <w:spacing w:before="0" w:after="0" w:line="240" w:lineRule="auto"/>
        <w:rPr>
          <w:rFonts w:hint="eastAsia" w:ascii="仿宋" w:hAnsi="仿宋" w:eastAsia="仿宋"/>
          <w:color w:val="auto"/>
          <w:sz w:val="28"/>
          <w:szCs w:val="28"/>
          <w:lang w:eastAsia="zh-CN"/>
        </w:rPr>
      </w:pPr>
      <w:r>
        <w:rPr>
          <w:rFonts w:hint="eastAsia" w:ascii="仿宋_GB2312" w:hAnsi="仿宋_GB2312" w:eastAsia="仿宋_GB2312" w:cs="仿宋_GB2312"/>
          <w:b/>
          <w:bCs/>
          <w:color w:val="auto"/>
          <w:sz w:val="28"/>
          <w:szCs w:val="28"/>
          <w:lang w:eastAsia="zh-CN"/>
        </w:rPr>
        <w:t>（</w:t>
      </w:r>
      <w:r>
        <w:rPr>
          <w:rFonts w:hint="eastAsia" w:ascii="仿宋_GB2312" w:hAnsi="仿宋_GB2312" w:eastAsia="仿宋_GB2312" w:cs="仿宋_GB2312"/>
          <w:b/>
          <w:bCs/>
          <w:color w:val="auto"/>
          <w:sz w:val="28"/>
          <w:szCs w:val="28"/>
          <w:lang w:val="en-US" w:eastAsia="zh-CN"/>
        </w:rPr>
        <w:t>七</w:t>
      </w:r>
      <w:r>
        <w:rPr>
          <w:rFonts w:hint="eastAsia" w:ascii="仿宋_GB2312" w:hAnsi="仿宋_GB2312" w:eastAsia="仿宋_GB2312" w:cs="仿宋_GB2312"/>
          <w:b/>
          <w:bCs/>
          <w:color w:val="auto"/>
          <w:sz w:val="28"/>
          <w:szCs w:val="28"/>
          <w:lang w:eastAsia="zh-CN"/>
        </w:rPr>
        <w:t>）</w:t>
      </w:r>
      <w:r>
        <w:rPr>
          <w:rFonts w:hint="eastAsia" w:ascii="仿宋" w:hAnsi="仿宋" w:eastAsia="仿宋"/>
          <w:color w:val="auto"/>
          <w:sz w:val="28"/>
          <w:szCs w:val="28"/>
        </w:rPr>
        <w:t>评审规则</w:t>
      </w:r>
      <w:r>
        <w:rPr>
          <w:rFonts w:hint="eastAsia" w:ascii="仿宋" w:hAnsi="仿宋" w:eastAsia="仿宋"/>
          <w:color w:val="auto"/>
          <w:sz w:val="28"/>
          <w:szCs w:val="28"/>
          <w:lang w:eastAsia="zh-CN"/>
        </w:rPr>
        <w:t>：</w:t>
      </w:r>
    </w:p>
    <w:p w14:paraId="20B49F69">
      <w:pPr>
        <w:adjustRightInd w:val="0"/>
        <w:snapToGrid w:val="0"/>
        <w:jc w:val="left"/>
        <w:rPr>
          <w:rFonts w:hint="eastAsia" w:ascii="仿宋_GB2312" w:hAnsi="仿宋_GB2312" w:eastAsia="仿宋_GB2312" w:cs="仿宋_GB2312"/>
          <w:i w:val="0"/>
          <w:iCs w:val="0"/>
          <w:color w:val="auto"/>
          <w:sz w:val="24"/>
          <w:szCs w:val="24"/>
        </w:rPr>
      </w:pPr>
      <w:r>
        <w:rPr>
          <w:rFonts w:hint="eastAsia" w:ascii="仿宋" w:hAnsi="仿宋" w:eastAsia="仿宋"/>
          <w:color w:val="auto"/>
          <w:sz w:val="28"/>
          <w:szCs w:val="28"/>
          <w:lang w:val="en-US" w:eastAsia="zh-CN"/>
        </w:rPr>
        <w:t>1.</w:t>
      </w:r>
      <w:r>
        <w:rPr>
          <w:rFonts w:hint="eastAsia" w:ascii="仿宋" w:hAnsi="仿宋" w:eastAsia="仿宋"/>
          <w:color w:val="auto"/>
          <w:sz w:val="28"/>
          <w:szCs w:val="28"/>
        </w:rPr>
        <w:t>评标方法：综合评分法</w:t>
      </w:r>
    </w:p>
    <w:p w14:paraId="49665528">
      <w:pPr>
        <w:adjustRightInd w:val="0"/>
        <w:snapToGrid w:val="0"/>
        <w:jc w:val="left"/>
        <w:rPr>
          <w:rFonts w:hint="eastAsia" w:ascii="仿宋_GB2312" w:hAnsi="仿宋_GB2312" w:eastAsia="仿宋_GB2312" w:cs="仿宋_GB2312"/>
          <w:i w:val="0"/>
          <w:iCs w:val="0"/>
          <w:color w:val="auto"/>
          <w:sz w:val="24"/>
          <w:szCs w:val="24"/>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89F14">
    <w:pPr>
      <w:pStyle w:val="5"/>
      <w:jc w:val="center"/>
    </w:pPr>
    <w:r>
      <w:fldChar w:fldCharType="begin"/>
    </w:r>
    <w:r>
      <w:instrText xml:space="preserve">PAGE   \* MERGEFORMAT</w:instrText>
    </w:r>
    <w:r>
      <w:fldChar w:fldCharType="separate"/>
    </w:r>
    <w:r>
      <w:rPr>
        <w:lang w:val="zh-CN"/>
      </w:rPr>
      <w:t>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499D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F36F45"/>
    <w:multiLevelType w:val="singleLevel"/>
    <w:tmpl w:val="96F36F45"/>
    <w:lvl w:ilvl="0" w:tentative="0">
      <w:start w:val="1"/>
      <w:numFmt w:val="decimal"/>
      <w:lvlText w:val="%1."/>
      <w:lvlJc w:val="left"/>
      <w:pPr>
        <w:ind w:left="425" w:hanging="425"/>
      </w:pPr>
      <w:rPr>
        <w:rFonts w:hint="default"/>
      </w:rPr>
    </w:lvl>
  </w:abstractNum>
  <w:abstractNum w:abstractNumId="1">
    <w:nsid w:val="A67903EB"/>
    <w:multiLevelType w:val="singleLevel"/>
    <w:tmpl w:val="A67903EB"/>
    <w:lvl w:ilvl="0" w:tentative="0">
      <w:start w:val="3"/>
      <w:numFmt w:val="chineseCounting"/>
      <w:suff w:val="nothing"/>
      <w:lvlText w:val="（%1）"/>
      <w:lvlJc w:val="left"/>
      <w:rPr>
        <w:rFonts w:hint="eastAsia"/>
        <w:b/>
        <w:bCs/>
      </w:rPr>
    </w:lvl>
  </w:abstractNum>
  <w:abstractNum w:abstractNumId="2">
    <w:nsid w:val="D581D833"/>
    <w:multiLevelType w:val="singleLevel"/>
    <w:tmpl w:val="D581D833"/>
    <w:lvl w:ilvl="0" w:tentative="0">
      <w:start w:val="1"/>
      <w:numFmt w:val="decimal"/>
      <w:lvlText w:val="%1."/>
      <w:lvlJc w:val="left"/>
      <w:pPr>
        <w:ind w:left="425" w:hanging="425"/>
      </w:pPr>
      <w:rPr>
        <w:rFonts w:hint="default"/>
      </w:rPr>
    </w:lvl>
  </w:abstractNum>
  <w:abstractNum w:abstractNumId="3">
    <w:nsid w:val="EC737CDF"/>
    <w:multiLevelType w:val="singleLevel"/>
    <w:tmpl w:val="EC737CDF"/>
    <w:lvl w:ilvl="0" w:tentative="0">
      <w:start w:val="1"/>
      <w:numFmt w:val="decimal"/>
      <w:lvlText w:val="(%1)"/>
      <w:lvlJc w:val="left"/>
      <w:pPr>
        <w:ind w:left="425" w:hanging="425"/>
      </w:pPr>
      <w:rPr>
        <w:rFonts w:hint="default"/>
      </w:rPr>
    </w:lvl>
  </w:abstractNum>
  <w:abstractNum w:abstractNumId="4">
    <w:nsid w:val="11702EDB"/>
    <w:multiLevelType w:val="multilevel"/>
    <w:tmpl w:val="11702ED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604021"/>
    <w:multiLevelType w:val="singleLevel"/>
    <w:tmpl w:val="4E604021"/>
    <w:lvl w:ilvl="0" w:tentative="0">
      <w:start w:val="2"/>
      <w:numFmt w:val="decimal"/>
      <w:suff w:val="nothing"/>
      <w:lvlText w:val="%1、"/>
      <w:lvlJc w:val="left"/>
    </w:lvl>
  </w:abstractNum>
  <w:abstractNum w:abstractNumId="6">
    <w:nsid w:val="4F4D2419"/>
    <w:multiLevelType w:val="singleLevel"/>
    <w:tmpl w:val="4F4D2419"/>
    <w:lvl w:ilvl="0" w:tentative="0">
      <w:start w:val="1"/>
      <w:numFmt w:val="decimal"/>
      <w:lvlText w:val="(%1)"/>
      <w:lvlJc w:val="left"/>
      <w:pPr>
        <w:ind w:left="425" w:hanging="425"/>
      </w:pPr>
      <w:rPr>
        <w:rFonts w:hint="default"/>
      </w:rPr>
    </w:lvl>
  </w:abstractNum>
  <w:abstractNum w:abstractNumId="7">
    <w:nsid w:val="746A6B31"/>
    <w:multiLevelType w:val="singleLevel"/>
    <w:tmpl w:val="746A6B31"/>
    <w:lvl w:ilvl="0" w:tentative="0">
      <w:start w:val="1"/>
      <w:numFmt w:val="chineseCounting"/>
      <w:suff w:val="nothing"/>
      <w:lvlText w:val="（%1）"/>
      <w:lvlJc w:val="left"/>
      <w:pPr>
        <w:ind w:left="-420" w:firstLine="420"/>
      </w:pPr>
      <w:rPr>
        <w:rFonts w:hint="eastAsia"/>
      </w:rPr>
    </w:lvl>
  </w:abstractNum>
  <w:num w:numId="1">
    <w:abstractNumId w:val="4"/>
  </w:num>
  <w:num w:numId="2">
    <w:abstractNumId w:val="7"/>
  </w:num>
  <w:num w:numId="3">
    <w:abstractNumId w:val="0"/>
  </w:num>
  <w:num w:numId="4">
    <w:abstractNumId w:val="6"/>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NzhhZWVjZDVjYzFiNzUyN2FlYmU1YTIwNTA2N2MifQ=="/>
  </w:docVars>
  <w:rsids>
    <w:rsidRoot w:val="00681410"/>
    <w:rsid w:val="0002072A"/>
    <w:rsid w:val="00061E07"/>
    <w:rsid w:val="00160CAF"/>
    <w:rsid w:val="00162818"/>
    <w:rsid w:val="00216720"/>
    <w:rsid w:val="002277A4"/>
    <w:rsid w:val="0046263E"/>
    <w:rsid w:val="00681410"/>
    <w:rsid w:val="006E05BE"/>
    <w:rsid w:val="0078244A"/>
    <w:rsid w:val="008914B7"/>
    <w:rsid w:val="00B97AED"/>
    <w:rsid w:val="00C9106E"/>
    <w:rsid w:val="00F43941"/>
    <w:rsid w:val="040D0020"/>
    <w:rsid w:val="04891E6A"/>
    <w:rsid w:val="05A50547"/>
    <w:rsid w:val="05AE1E48"/>
    <w:rsid w:val="098B635B"/>
    <w:rsid w:val="09E879EE"/>
    <w:rsid w:val="0C5F2855"/>
    <w:rsid w:val="0C6A7D1D"/>
    <w:rsid w:val="0D532C76"/>
    <w:rsid w:val="0EA02F1C"/>
    <w:rsid w:val="10765998"/>
    <w:rsid w:val="11907504"/>
    <w:rsid w:val="13356931"/>
    <w:rsid w:val="14F33389"/>
    <w:rsid w:val="169D3D23"/>
    <w:rsid w:val="1C4A5F2B"/>
    <w:rsid w:val="1C7D3C0B"/>
    <w:rsid w:val="1E90231B"/>
    <w:rsid w:val="1ECC0887"/>
    <w:rsid w:val="1F873A51"/>
    <w:rsid w:val="20026001"/>
    <w:rsid w:val="20C50954"/>
    <w:rsid w:val="21035A46"/>
    <w:rsid w:val="21CA62D3"/>
    <w:rsid w:val="23221D24"/>
    <w:rsid w:val="2437330B"/>
    <w:rsid w:val="24C53C68"/>
    <w:rsid w:val="2587573D"/>
    <w:rsid w:val="268A3AF4"/>
    <w:rsid w:val="26CF6F9F"/>
    <w:rsid w:val="27337CE7"/>
    <w:rsid w:val="28F6718D"/>
    <w:rsid w:val="294D6D67"/>
    <w:rsid w:val="2A233F32"/>
    <w:rsid w:val="2AB64F8D"/>
    <w:rsid w:val="2B033E75"/>
    <w:rsid w:val="2CBA4A07"/>
    <w:rsid w:val="2DC378EB"/>
    <w:rsid w:val="30BF25EC"/>
    <w:rsid w:val="312A0667"/>
    <w:rsid w:val="31AB2B70"/>
    <w:rsid w:val="31BC3D81"/>
    <w:rsid w:val="3313543F"/>
    <w:rsid w:val="345D1B1D"/>
    <w:rsid w:val="36A63283"/>
    <w:rsid w:val="386B2CF7"/>
    <w:rsid w:val="3879012C"/>
    <w:rsid w:val="39050DB8"/>
    <w:rsid w:val="3B66028A"/>
    <w:rsid w:val="3BBF607E"/>
    <w:rsid w:val="3BE455FD"/>
    <w:rsid w:val="3DBF49AA"/>
    <w:rsid w:val="3F295D9A"/>
    <w:rsid w:val="3F786788"/>
    <w:rsid w:val="40654C83"/>
    <w:rsid w:val="41200E85"/>
    <w:rsid w:val="41210759"/>
    <w:rsid w:val="4153289D"/>
    <w:rsid w:val="418F2299"/>
    <w:rsid w:val="424D7F48"/>
    <w:rsid w:val="42AF03AF"/>
    <w:rsid w:val="43804D27"/>
    <w:rsid w:val="43827F79"/>
    <w:rsid w:val="444D50B5"/>
    <w:rsid w:val="4503062F"/>
    <w:rsid w:val="45713ECD"/>
    <w:rsid w:val="45C30775"/>
    <w:rsid w:val="465240BE"/>
    <w:rsid w:val="46AE6313"/>
    <w:rsid w:val="46D30747"/>
    <w:rsid w:val="47877DD4"/>
    <w:rsid w:val="47946129"/>
    <w:rsid w:val="485A4AC9"/>
    <w:rsid w:val="49195D6E"/>
    <w:rsid w:val="496E4944"/>
    <w:rsid w:val="4C4243A5"/>
    <w:rsid w:val="4D956757"/>
    <w:rsid w:val="4E3F4B5F"/>
    <w:rsid w:val="4F624D5E"/>
    <w:rsid w:val="4F7E25E3"/>
    <w:rsid w:val="50722D7F"/>
    <w:rsid w:val="523C2680"/>
    <w:rsid w:val="539D45B7"/>
    <w:rsid w:val="53D74689"/>
    <w:rsid w:val="544B60D2"/>
    <w:rsid w:val="54F750E5"/>
    <w:rsid w:val="57D51729"/>
    <w:rsid w:val="57E056B6"/>
    <w:rsid w:val="57EA769F"/>
    <w:rsid w:val="59266DFD"/>
    <w:rsid w:val="5CC108D2"/>
    <w:rsid w:val="5DFF2AF6"/>
    <w:rsid w:val="60E36465"/>
    <w:rsid w:val="62270F2C"/>
    <w:rsid w:val="64060C23"/>
    <w:rsid w:val="67947E40"/>
    <w:rsid w:val="67A10888"/>
    <w:rsid w:val="688754DF"/>
    <w:rsid w:val="691C2385"/>
    <w:rsid w:val="699A7177"/>
    <w:rsid w:val="6B3727A3"/>
    <w:rsid w:val="6C2D7583"/>
    <w:rsid w:val="6C70102E"/>
    <w:rsid w:val="6CDE36DB"/>
    <w:rsid w:val="6D282CEC"/>
    <w:rsid w:val="6D4318D3"/>
    <w:rsid w:val="6E0472B5"/>
    <w:rsid w:val="6F0868E3"/>
    <w:rsid w:val="70B054D2"/>
    <w:rsid w:val="72E11346"/>
    <w:rsid w:val="72FF2B0E"/>
    <w:rsid w:val="7395273F"/>
    <w:rsid w:val="745925A1"/>
    <w:rsid w:val="74974D88"/>
    <w:rsid w:val="74B15375"/>
    <w:rsid w:val="760836BA"/>
    <w:rsid w:val="766A21F6"/>
    <w:rsid w:val="785B21C7"/>
    <w:rsid w:val="7BEE6EAE"/>
    <w:rsid w:val="7C0E3895"/>
    <w:rsid w:val="7C957AEB"/>
    <w:rsid w:val="7DD626F2"/>
    <w:rsid w:val="7E2F1B87"/>
    <w:rsid w:val="7F416C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kern w:val="0"/>
      <w:sz w:val="20"/>
    </w:rPr>
  </w:style>
  <w:style w:type="paragraph" w:styleId="4">
    <w:name w:val="annotation text"/>
    <w:basedOn w:val="1"/>
    <w:unhideWhenUsed/>
    <w:uiPriority w:val="99"/>
    <w:pPr>
      <w:jc w:val="left"/>
    </w:p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tabs>
        <w:tab w:val="center" w:pos="4153"/>
        <w:tab w:val="right" w:pos="8306"/>
      </w:tabs>
      <w:snapToGrid w:val="0"/>
      <w:jc w:val="center"/>
    </w:pPr>
    <w:rPr>
      <w:sz w:val="18"/>
      <w:szCs w:val="18"/>
    </w:rPr>
  </w:style>
  <w:style w:type="table" w:styleId="8">
    <w:name w:val="Table Grid"/>
    <w:basedOn w:val="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标题 1 字符"/>
    <w:basedOn w:val="9"/>
    <w:link w:val="2"/>
    <w:qFormat/>
    <w:uiPriority w:val="9"/>
    <w:rPr>
      <w:b/>
      <w:bCs/>
      <w:kern w:val="44"/>
      <w:sz w:val="44"/>
      <w:szCs w:val="44"/>
    </w:rPr>
  </w:style>
  <w:style w:type="character" w:customStyle="1" w:styleId="12">
    <w:name w:val="页脚 字符"/>
    <w:basedOn w:val="9"/>
    <w:link w:val="5"/>
    <w:qFormat/>
    <w:uiPriority w:val="99"/>
    <w:rPr>
      <w:sz w:val="18"/>
      <w:szCs w:val="18"/>
    </w:rPr>
  </w:style>
  <w:style w:type="character" w:customStyle="1" w:styleId="13">
    <w:name w:val="页眉 字符"/>
    <w:basedOn w:val="9"/>
    <w:link w:val="6"/>
    <w:qFormat/>
    <w:uiPriority w:val="99"/>
    <w:rPr>
      <w:sz w:val="18"/>
      <w:szCs w:val="18"/>
    </w:rPr>
  </w:style>
  <w:style w:type="paragraph" w:styleId="14">
    <w:name w:val="List Paragraph"/>
    <w:basedOn w:val="1"/>
    <w:qFormat/>
    <w:uiPriority w:val="34"/>
    <w:pPr>
      <w:ind w:left="704" w:hanging="420"/>
    </w:pPr>
    <w:rPr>
      <w:rFonts w:ascii="Times New Roman" w:hAnsi="Times New Roman" w:eastAsia="黑体" w:cs="Times New Roman"/>
      <w:sz w:val="32"/>
      <w:szCs w:val="24"/>
    </w:rPr>
  </w:style>
  <w:style w:type="paragraph" w:customStyle="1" w:styleId="15">
    <w:name w:val="列出段落1"/>
    <w:basedOn w:val="1"/>
    <w:qFormat/>
    <w:uiPriority w:val="34"/>
    <w:pPr>
      <w:ind w:firstLine="420" w:firstLineChars="200"/>
    </w:pPr>
  </w:style>
  <w:style w:type="paragraph" w:customStyle="1" w:styleId="16">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17">
    <w:name w:val="Õý"/>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2057</Words>
  <Characters>2107</Characters>
  <Lines>7</Lines>
  <Paragraphs>2</Paragraphs>
  <TotalTime>4</TotalTime>
  <ScaleCrop>false</ScaleCrop>
  <LinksUpToDate>false</LinksUpToDate>
  <CharactersWithSpaces>2171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2026-10-09T02:59:27Z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77C2E6C8307047A5A5914AC9090214C8_13</vt:lpwstr>
  </property>
  <property fmtid="{D5CDD505-2E9C-101B-9397-08002B2CF9AE}" pid="4" name="KSOTemplateDocerSaveRecord">
    <vt:lpwstr>eyJoZGlkIjoiOTgxNzhhZWVjZDVjYzFiNzUyN2FlYmU1YTIwNTA2N2MiLCJ1c2VySWQiOiIxMTI2ODg3MDA2In0=</vt:lpwstr>
  </property>
</Properties>
</file>