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4316A">
      <w:pPr>
        <w:pStyle w:val="12"/>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1BF8841B">
      <w:pPr>
        <w:pStyle w:val="12"/>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项目名称：抢救床（抢救室用）</w:t>
      </w:r>
    </w:p>
    <w:p w14:paraId="27F0B60F">
      <w:pPr>
        <w:pStyle w:val="12"/>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项目预算：20万元 </w:t>
      </w:r>
    </w:p>
    <w:p w14:paraId="58852468">
      <w:pPr>
        <w:pStyle w:val="12"/>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项目报价类型：总价</w:t>
      </w:r>
    </w:p>
    <w:p w14:paraId="06D28426">
      <w:pPr>
        <w:pStyle w:val="12"/>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资金来源：单位资金</w:t>
      </w:r>
    </w:p>
    <w:p w14:paraId="7641371F">
      <w:pPr>
        <w:pStyle w:val="12"/>
        <w:widowControl/>
        <w:numPr>
          <w:ilvl w:val="0"/>
          <w:numId w:val="2"/>
        </w:numPr>
        <w:spacing w:line="360" w:lineRule="auto"/>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采购类别（货物/服务/工程）：货物</w:t>
      </w:r>
    </w:p>
    <w:p w14:paraId="3EECA02A">
      <w:pPr>
        <w:pStyle w:val="12"/>
        <w:widowControl/>
        <w:numPr>
          <w:ilvl w:val="0"/>
          <w:numId w:val="1"/>
        </w:numPr>
        <w:spacing w:line="360" w:lineRule="auto"/>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项目采购需求：</w:t>
      </w:r>
    </w:p>
    <w:p w14:paraId="16C9477F">
      <w:pPr>
        <w:pStyle w:val="12"/>
        <w:widowControl/>
        <w:spacing w:line="360" w:lineRule="auto"/>
        <w:ind w:left="0" w:firstLine="0"/>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（一）采购项目需实现的功能和目标：</w:t>
      </w:r>
      <w:bookmarkStart w:id="0" w:name="OLE_LINK4"/>
      <w:r>
        <w:rPr>
          <w:rFonts w:hint="eastAsia" w:ascii="仿宋_GB2312" w:hAnsi="仿宋_GB2312" w:eastAsia="仿宋_GB2312" w:cs="仿宋_GB2312"/>
          <w:sz w:val="28"/>
          <w:szCs w:val="28"/>
          <w:highlight w:val="none"/>
        </w:rPr>
        <w:t>用于急诊科抢救室抢救患者需要，具备丰富的体位调节功能，要求推行轻便，有一定承载抢救用设备的能力，配有称重系统及UPS电源供电装置，为专业的抢救、治疗、静养为一体的专业急诊抢救床。</w:t>
      </w:r>
      <w:bookmarkEnd w:id="0"/>
    </w:p>
    <w:p w14:paraId="42C89D9E">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25537F02">
      <w:pPr>
        <w:numPr>
          <w:ilvl w:val="0"/>
          <w:numId w:val="3"/>
        </w:num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0F3C2395">
      <w:pPr>
        <w:numPr>
          <w:ilvl w:val="0"/>
          <w:numId w:val="4"/>
        </w:num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112DB2EB">
      <w:pPr>
        <w:numPr>
          <w:ilvl w:val="0"/>
          <w:numId w:val="4"/>
        </w:numPr>
        <w:spacing w:line="360" w:lineRule="auto"/>
        <w:rPr>
          <w:rFonts w:hint="eastAsia" w:ascii="仿宋" w:hAnsi="仿宋" w:eastAsia="仿宋"/>
          <w:sz w:val="28"/>
          <w:szCs w:val="28"/>
          <w:highlight w:val="none"/>
          <w:u w:val="single"/>
        </w:rPr>
      </w:pPr>
      <w:r>
        <w:rPr>
          <w:rFonts w:hint="eastAsia" w:ascii="仿宋_GB2312" w:hAnsi="仿宋_GB2312" w:eastAsia="仿宋_GB2312" w:cs="仿宋_GB2312"/>
          <w:sz w:val="28"/>
          <w:szCs w:val="28"/>
          <w:highlight w:val="none"/>
        </w:rPr>
        <w:t>☑否，原因说明：</w:t>
      </w:r>
      <w:r>
        <w:rPr>
          <w:rFonts w:hint="eastAsia" w:ascii="仿宋" w:hAnsi="仿宋" w:eastAsia="仿宋"/>
          <w:sz w:val="28"/>
          <w:szCs w:val="28"/>
          <w:highlight w:val="none"/>
          <w:u w:val="single"/>
        </w:rPr>
        <w:t>按照办法规定预留采购份额无法确保充分供应、充分竞争，或者存在可能影响政府采购目标实现的情形。</w:t>
      </w:r>
    </w:p>
    <w:p w14:paraId="2135A628">
      <w:pPr>
        <w:numPr>
          <w:ilvl w:val="0"/>
          <w:numId w:val="5"/>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是否接受联合体投标</w:t>
      </w:r>
      <w:r>
        <w:rPr>
          <w:rFonts w:hint="eastAsia" w:ascii="仿宋_GB2312" w:hAnsi="仿宋_GB2312" w:eastAsia="仿宋_GB2312" w:cs="仿宋_GB2312"/>
          <w:sz w:val="28"/>
          <w:szCs w:val="28"/>
          <w:highlight w:val="none"/>
        </w:rPr>
        <w:t>：  □是    ☑否</w:t>
      </w:r>
    </w:p>
    <w:p w14:paraId="22341CA2">
      <w:pPr>
        <w:spacing w:line="360" w:lineRule="auto"/>
        <w:rPr>
          <w:rFonts w:hint="eastAsia" w:ascii="仿宋_GB2312" w:hAnsi="仿宋_GB2312" w:eastAsia="仿宋_GB2312" w:cs="仿宋_GB2312"/>
          <w:b/>
          <w:bCs/>
          <w:sz w:val="28"/>
          <w:szCs w:val="28"/>
          <w:highlight w:val="none"/>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rPr>
        <w:t>四）采购标的汇总表：</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0898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443B2CFF">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2D3A0AAE">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26B87919">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0E0A7D4A">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4375451E">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总预算（</w:t>
            </w:r>
            <w:bookmarkStart w:id="1" w:name="_GoBack"/>
            <w:bookmarkEnd w:id="1"/>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元）</w:t>
            </w:r>
          </w:p>
        </w:tc>
        <w:tc>
          <w:tcPr>
            <w:tcW w:w="2065" w:type="dxa"/>
            <w:shd w:val="clear" w:color="auto" w:fill="FFFFFF"/>
            <w:tcMar>
              <w:top w:w="0" w:type="dxa"/>
              <w:right w:w="0" w:type="dxa"/>
            </w:tcMar>
            <w:vAlign w:val="center"/>
          </w:tcPr>
          <w:p w14:paraId="04E96373">
            <w:pPr>
              <w:autoSpaceDE w:val="0"/>
              <w:autoSpaceDN w:val="0"/>
              <w:adjustRightInd w:val="0"/>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      （货物类提供）</w:t>
            </w:r>
          </w:p>
        </w:tc>
      </w:tr>
      <w:tr w14:paraId="1D4A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6A115C73">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抢救床（抢救室用）    </w:t>
            </w:r>
          </w:p>
        </w:tc>
        <w:tc>
          <w:tcPr>
            <w:tcW w:w="2331" w:type="dxa"/>
            <w:shd w:val="clear" w:color="auto" w:fill="FFFFFF"/>
            <w:tcMar>
              <w:top w:w="0" w:type="dxa"/>
              <w:right w:w="0" w:type="dxa"/>
            </w:tcMar>
            <w:vAlign w:val="center"/>
          </w:tcPr>
          <w:p w14:paraId="3714A343">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A02322700、病房护理及医院设备</w:t>
            </w:r>
          </w:p>
        </w:tc>
        <w:tc>
          <w:tcPr>
            <w:tcW w:w="1601" w:type="dxa"/>
            <w:shd w:val="clear" w:color="auto" w:fill="FFFFFF"/>
            <w:tcMar>
              <w:top w:w="0" w:type="dxa"/>
              <w:right w:w="0" w:type="dxa"/>
            </w:tcMar>
            <w:vAlign w:val="center"/>
          </w:tcPr>
          <w:p w14:paraId="2DC80201">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张    </w:t>
            </w:r>
          </w:p>
        </w:tc>
        <w:tc>
          <w:tcPr>
            <w:tcW w:w="968" w:type="dxa"/>
            <w:shd w:val="clear" w:color="auto" w:fill="FFFFFF"/>
            <w:vAlign w:val="center"/>
          </w:tcPr>
          <w:p w14:paraId="6D01B0D5">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4   </w:t>
            </w:r>
          </w:p>
        </w:tc>
        <w:tc>
          <w:tcPr>
            <w:tcW w:w="1200" w:type="dxa"/>
            <w:shd w:val="clear" w:color="auto" w:fill="FFFFFF"/>
            <w:vAlign w:val="center"/>
          </w:tcPr>
          <w:p w14:paraId="74E9DEBA">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200000    </w:t>
            </w:r>
          </w:p>
        </w:tc>
        <w:tc>
          <w:tcPr>
            <w:tcW w:w="2065" w:type="dxa"/>
            <w:shd w:val="clear" w:color="auto" w:fill="FFFFFF"/>
            <w:tcMar>
              <w:top w:w="0" w:type="dxa"/>
              <w:right w:w="0" w:type="dxa"/>
            </w:tcMar>
            <w:vAlign w:val="center"/>
          </w:tcPr>
          <w:p w14:paraId="4B126F72">
            <w:pPr>
              <w:autoSpaceDE w:val="0"/>
              <w:autoSpaceDN w:val="0"/>
              <w:adjustRightInd w:val="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不限</w:t>
            </w:r>
            <w:r>
              <w:rPr>
                <w:rFonts w:hint="eastAsia" w:ascii="仿宋_GB2312" w:hAnsi="仿宋_GB2312" w:eastAsia="仿宋_GB2312" w:cs="仿宋_GB2312"/>
                <w:color w:val="auto"/>
                <w:kern w:val="0"/>
                <w:sz w:val="28"/>
                <w:szCs w:val="28"/>
                <w:highlight w:val="none"/>
              </w:rPr>
              <w:t xml:space="preserve">    </w:t>
            </w:r>
          </w:p>
        </w:tc>
      </w:tr>
    </w:tbl>
    <w:p w14:paraId="42E85FCA">
      <w:pPr>
        <w:rPr>
          <w:rFonts w:hint="eastAsia"/>
          <w:b/>
          <w:bCs/>
          <w:highlight w:val="none"/>
        </w:rPr>
      </w:pPr>
      <w:r>
        <w:rPr>
          <w:rFonts w:hint="eastAsia" w:ascii="仿宋_GB2312" w:hAnsi="仿宋_GB2312" w:eastAsia="仿宋_GB2312" w:cs="仿宋_GB2312"/>
          <w:b/>
          <w:bCs/>
          <w:sz w:val="28"/>
          <w:szCs w:val="28"/>
          <w:highlight w:val="none"/>
        </w:rPr>
        <w:t>（五）按照规定及项目情况设置投标供应商资格要求：</w:t>
      </w:r>
    </w:p>
    <w:p w14:paraId="5617CB96">
      <w:pPr>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69EA2A8F">
      <w:pPr>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576F8D75">
      <w:pPr>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6D92B5B7">
      <w:pPr>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3052231F">
      <w:pPr>
        <w:ind w:firstLine="480" w:firstLineChars="200"/>
        <w:rPr>
          <w:rFonts w:hint="eastAsia"/>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5A1A16A1">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（六）技术、服务要求与商务要求：</w:t>
      </w:r>
    </w:p>
    <w:p w14:paraId="792F04F1">
      <w:pPr>
        <w:numPr>
          <w:ilvl w:val="0"/>
          <w:numId w:val="6"/>
        </w:num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技术要求：</w:t>
      </w:r>
    </w:p>
    <w:tbl>
      <w:tblPr>
        <w:tblStyle w:val="6"/>
        <w:tblW w:w="8820" w:type="dxa"/>
        <w:tblInd w:w="93" w:type="dxa"/>
        <w:tblLayout w:type="autofit"/>
        <w:tblCellMar>
          <w:top w:w="0" w:type="dxa"/>
          <w:left w:w="108" w:type="dxa"/>
          <w:bottom w:w="0" w:type="dxa"/>
          <w:right w:w="108" w:type="dxa"/>
        </w:tblCellMar>
      </w:tblPr>
      <w:tblGrid>
        <w:gridCol w:w="624"/>
        <w:gridCol w:w="8196"/>
      </w:tblGrid>
      <w:tr w14:paraId="29D10FC9">
        <w:tblPrEx>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98F3">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color w:val="000000"/>
                <w:kern w:val="0"/>
                <w:sz w:val="22"/>
                <w:highlight w:val="none"/>
                <w:lang w:bidi="ar"/>
              </w:rPr>
              <w:t>序号</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5E72">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color w:val="000000"/>
                <w:kern w:val="0"/>
                <w:sz w:val="22"/>
                <w:highlight w:val="none"/>
                <w:lang w:bidi="ar"/>
              </w:rPr>
              <w:t>技术要求</w:t>
            </w:r>
          </w:p>
        </w:tc>
      </w:tr>
      <w:tr w14:paraId="341F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2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6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全长≥2150mm，全宽≤800mm；床板≥1900mm×640mm；</w:t>
            </w:r>
          </w:p>
        </w:tc>
      </w:tr>
      <w:tr w14:paraId="31A6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C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高低升降560-890mm，背部升降≥85°，膝部升降0-40°，倾斜调节±18°；</w:t>
            </w:r>
          </w:p>
        </w:tc>
      </w:tr>
      <w:tr w14:paraId="3D37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D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安全工作载荷≥340kg（床板采用≥6mm抗倍特板，框架为钢材弯管焊接）。</w:t>
            </w:r>
          </w:p>
        </w:tc>
      </w:tr>
      <w:tr w14:paraId="201D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2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D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涂工艺：电泳+粉末复式喷涂，盐雾试验≥450小时、抗菌率≥80%（提供第三方检测机构出具的检测（检验）报告扫描件或提供产品官网截图或彩页关键页扫描件或产品说明书关键页扫描件（证明材料要求内容能体现满足上述参数要求））。</w:t>
            </w:r>
          </w:p>
        </w:tc>
      </w:tr>
      <w:tr w14:paraId="2453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8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A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PP树脂护栏（高≥310mm，最薄处≥18mm），带手指凹槽防滑把手；</w:t>
            </w:r>
          </w:p>
        </w:tc>
      </w:tr>
      <w:tr w14:paraId="58BD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3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4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状态调节（0°/90°/180°），压铸铝一体成型挂钩（承重30kg）及导管防滑凹槽；（提供第三方检测机构出具的检测（检验）报告扫描件或提供产品官网截图或彩页关键页扫描件或产品说明书关键页扫描件（证明材料要求内容能体现满足上述参数要求））</w:t>
            </w:r>
          </w:p>
        </w:tc>
      </w:tr>
      <w:tr w14:paraId="5E43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9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8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静音驱动：背部升降采用静音双气弹簧，高低升降采用静音液压缸，确保无晃动。</w:t>
            </w:r>
          </w:p>
        </w:tc>
      </w:tr>
      <w:tr w14:paraId="3E4F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F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4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轮系统：4个直径≥200mm中控脚轮，三档联动踏板（控制刹车/万向/中心第五轮），含≥≥1个含碳导电脚轮防静电；（提供第三方检测机构出具的检测（检验）报告扫描件或提供产品官网截图或彩页关键页扫描件或产品说明书关键页扫描件（证明材料要求内容能体现满足上述参数要求））</w:t>
            </w:r>
          </w:p>
        </w:tc>
      </w:tr>
      <w:tr w14:paraId="646D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7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5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配置：一体式托盘（承重≥15kg），可固定2个≥10L氧气瓶（带绑带）及急救设备（储物槽≥300×380mm）；（提供第三方检测机构出具的检测（检验）报告扫描件或提供产品官网截图或彩页关键页扫描件或产品说明书关键页扫描件（证明材料要求内容能体现满足上述参数要求））</w:t>
            </w:r>
          </w:p>
        </w:tc>
      </w:tr>
      <w:tr w14:paraId="1A15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D76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2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不间断电源系统：切换时间≤20ms，磷酸铁锂电芯（循环≥4000次，寿命≥10年）；</w:t>
            </w:r>
          </w:p>
        </w:tc>
      </w:tr>
      <w:tr w14:paraId="4CC4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D13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B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输出功率≥1000W，接口≥6个（交流×2/USB-C×2/USB-A×2）；</w:t>
            </w:r>
          </w:p>
        </w:tc>
      </w:tr>
      <w:tr w14:paraId="735F0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75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C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智能屏显电量/功率，集成设计不影响床体功能；</w:t>
            </w:r>
          </w:p>
        </w:tc>
      </w:tr>
      <w:tr w14:paraId="531D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A4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C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称重精度：4个量程≥500kg高精度传感器，测量范围0-340kg（精度±0.1kg）；</w:t>
            </w:r>
          </w:p>
        </w:tc>
      </w:tr>
      <w:tr w14:paraId="697A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82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7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手持控制器集成离床报警、称重补偿、单位切换功能；</w:t>
            </w:r>
          </w:p>
        </w:tc>
      </w:tr>
      <w:tr w14:paraId="696D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CE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2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折叠P型推行把手（发泡处理）、U型床尾把手（浸塑处理）；</w:t>
            </w:r>
          </w:p>
        </w:tc>
      </w:tr>
      <w:tr w14:paraId="52F3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45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8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B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七分区防水床垫（带拉链）、防撞轮/块、隐藏式输液架；</w:t>
            </w:r>
          </w:p>
        </w:tc>
      </w:tr>
    </w:tbl>
    <w:p w14:paraId="77D7A41F">
      <w:pPr>
        <w:spacing w:line="400" w:lineRule="exact"/>
        <w:jc w:val="left"/>
        <w:rPr>
          <w:rFonts w:hint="eastAsia" w:ascii="仿宋_GB2312" w:hAnsi="仿宋_GB2312" w:eastAsia="仿宋_GB2312" w:cs="仿宋_GB2312"/>
          <w:sz w:val="24"/>
          <w:szCs w:val="24"/>
          <w:highlight w:val="none"/>
        </w:rPr>
      </w:pPr>
    </w:p>
    <w:p w14:paraId="5F501C85">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配置清单（单张）</w:t>
      </w:r>
    </w:p>
    <w:p w14:paraId="1F63114E">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1.床体              1张</w:t>
      </w:r>
    </w:p>
    <w:p w14:paraId="369BA1E5">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2.一体式护栏        2片</w:t>
      </w:r>
    </w:p>
    <w:p w14:paraId="0B9EAFC0">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3.中控脚轮          4个</w:t>
      </w:r>
    </w:p>
    <w:p w14:paraId="61C91F41">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4.三档中控锁定踏板  4套</w:t>
      </w:r>
    </w:p>
    <w:p w14:paraId="7BC0FDE4">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5.中心第五轮        1套</w:t>
      </w:r>
    </w:p>
    <w:p w14:paraId="35D908A4">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6.背部升降气压弹簧  2根</w:t>
      </w:r>
    </w:p>
    <w:p w14:paraId="622D5C4F">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7.膝部手摇柄        1个</w:t>
      </w:r>
    </w:p>
    <w:p w14:paraId="013B2FA6">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8.整体式底部托盘    1个</w:t>
      </w:r>
    </w:p>
    <w:p w14:paraId="569FAAD3">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9.输液架            1根</w:t>
      </w:r>
    </w:p>
    <w:p w14:paraId="46695158">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10.防水床垫         1张</w:t>
      </w:r>
    </w:p>
    <w:p w14:paraId="51628977">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11.记录台           1个</w:t>
      </w:r>
    </w:p>
    <w:p w14:paraId="4C4074AB">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12.电源装置      1套</w:t>
      </w:r>
    </w:p>
    <w:p w14:paraId="5FC8A72D">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13.称重系统         1套</w:t>
      </w:r>
    </w:p>
    <w:p w14:paraId="3FED0A58">
      <w:pPr>
        <w:numPr>
          <w:ilvl w:val="0"/>
          <w:numId w:val="6"/>
        </w:num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6"/>
        <w:tblW w:w="10365" w:type="dxa"/>
        <w:jc w:val="center"/>
        <w:tblLayout w:type="autofit"/>
        <w:tblCellMar>
          <w:top w:w="0" w:type="dxa"/>
          <w:left w:w="108" w:type="dxa"/>
          <w:bottom w:w="0" w:type="dxa"/>
          <w:right w:w="108" w:type="dxa"/>
        </w:tblCellMar>
      </w:tblPr>
      <w:tblGrid>
        <w:gridCol w:w="525"/>
        <w:gridCol w:w="735"/>
        <w:gridCol w:w="1020"/>
        <w:gridCol w:w="8085"/>
      </w:tblGrid>
      <w:tr w14:paraId="0FAC2221">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B8ED">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CFF3C">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A844">
            <w:pPr>
              <w:widowControl/>
              <w:jc w:val="center"/>
              <w:textAlignment w:val="center"/>
              <w:rPr>
                <w:rFonts w:hint="eastAsia" w:ascii="仿宋_GB2312" w:hAnsi="宋体" w:eastAsia="仿宋_GB2312" w:cs="仿宋_GB2312"/>
                <w:b/>
                <w:bCs/>
                <w:color w:val="000000"/>
                <w:sz w:val="28"/>
                <w:szCs w:val="28"/>
                <w:highlight w:val="none"/>
              </w:rPr>
            </w:pPr>
            <w:r>
              <w:rPr>
                <w:rFonts w:hint="eastAsia" w:ascii="微软雅黑" w:hAnsi="微软雅黑" w:eastAsia="微软雅黑" w:cs="微软雅黑"/>
                <w:color w:val="000000"/>
                <w:kern w:val="0"/>
                <w:sz w:val="28"/>
                <w:szCs w:val="28"/>
                <w:highlight w:val="none"/>
                <w:lang w:bidi="ar"/>
              </w:rPr>
              <w:t>★</w:t>
            </w:r>
            <w:r>
              <w:rPr>
                <w:rFonts w:hint="eastAsia" w:ascii="微软雅黑" w:hAnsi="微软雅黑" w:eastAsia="微软雅黑" w:cs="微软雅黑"/>
                <w:color w:val="000000"/>
                <w:kern w:val="0"/>
                <w:sz w:val="28"/>
                <w:szCs w:val="28"/>
                <w:highlight w:val="none"/>
                <w:lang w:val="en-US" w:eastAsia="zh-CN" w:bidi="ar"/>
              </w:rPr>
              <w:t xml:space="preserve"> </w:t>
            </w:r>
            <w:r>
              <w:rPr>
                <w:rFonts w:hint="eastAsia" w:ascii="仿宋_GB2312" w:hAnsi="宋体" w:eastAsia="仿宋_GB2312" w:cs="仿宋_GB2312"/>
                <w:b/>
                <w:bCs/>
                <w:color w:val="000000"/>
                <w:kern w:val="0"/>
                <w:sz w:val="28"/>
                <w:szCs w:val="28"/>
                <w:highlight w:val="none"/>
                <w:lang w:bidi="ar"/>
              </w:rPr>
              <w:t>商务要求</w:t>
            </w:r>
          </w:p>
        </w:tc>
      </w:tr>
      <w:tr w14:paraId="538AC445">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61544">
            <w:pPr>
              <w:widowControl/>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（一）免费保修期内售后服务要求</w:t>
            </w:r>
          </w:p>
        </w:tc>
      </w:tr>
      <w:tr w14:paraId="420317E4">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85A7E">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45BEE">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903A">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E7F2">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设备原厂（含附件）免费保修期为</w:t>
            </w:r>
            <w:r>
              <w:rPr>
                <w:rStyle w:val="14"/>
                <w:rFonts w:hint="default" w:hAnsi="宋体"/>
                <w:highlight w:val="none"/>
                <w:lang w:bidi="ar"/>
              </w:rPr>
              <w:t>5</w:t>
            </w:r>
            <w:r>
              <w:rPr>
                <w:rStyle w:val="15"/>
                <w:rFonts w:hint="default" w:hAnsi="宋体"/>
                <w:highlight w:val="none"/>
                <w:lang w:bidi="ar"/>
              </w:rPr>
              <w:t>年，自验收报告签字之日开始计算。</w:t>
            </w:r>
          </w:p>
        </w:tc>
      </w:tr>
      <w:tr w14:paraId="497796C8">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84BAA">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B7753">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7854">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0BCE">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94D503C">
        <w:tblPrEx>
          <w:tblCellMar>
            <w:top w:w="0" w:type="dxa"/>
            <w:left w:w="108" w:type="dxa"/>
            <w:bottom w:w="0" w:type="dxa"/>
            <w:right w:w="108" w:type="dxa"/>
          </w:tblCellMar>
        </w:tblPrEx>
        <w:trPr>
          <w:trHeight w:val="126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524C">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1E6B5">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70F7">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8AF2">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投标人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29620D78">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0468">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F83A">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98DF">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67A5">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投标人应按其投标文件中的承诺，进行其他售后服务工作。</w:t>
            </w:r>
          </w:p>
        </w:tc>
      </w:tr>
      <w:tr w14:paraId="1A00527A">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AB76FB">
            <w:pPr>
              <w:widowControl/>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（二）免费保修期外售后服务要求</w:t>
            </w:r>
          </w:p>
        </w:tc>
      </w:tr>
      <w:tr w14:paraId="609A30BD">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DD40">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AC4D">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EDD4">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880D">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免费保修期结束后的维修只按优惠价格收取材料费，不收取人工费及差旅费，投标人须在签订合同前提供该设备免费保修期结束后的年度维保方案和报价，以作为采购人购买后续服务的基本保证。</w:t>
            </w:r>
          </w:p>
        </w:tc>
      </w:tr>
      <w:tr w14:paraId="171F0984">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4CB095">
            <w:pPr>
              <w:widowControl/>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（三）其他商务要求</w:t>
            </w:r>
          </w:p>
        </w:tc>
      </w:tr>
      <w:tr w14:paraId="40AF7A24">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CC813">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44072">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0A16">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E26E">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4"/>
                <w:rFonts w:hint="default" w:hAnsi="宋体"/>
                <w:highlight w:val="none"/>
                <w:lang w:bidi="ar"/>
              </w:rPr>
              <w:t>30</w:t>
            </w:r>
            <w:r>
              <w:rPr>
                <w:rStyle w:val="15"/>
                <w:rFonts w:hint="default" w:hAnsi="宋体"/>
                <w:highlight w:val="none"/>
                <w:lang w:bidi="ar"/>
              </w:rPr>
              <w:t>日历天内交货。</w:t>
            </w:r>
          </w:p>
        </w:tc>
      </w:tr>
      <w:tr w14:paraId="2DF80141">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D8B60">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8A29E">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387B">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7930">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地点：采购人指定地点。</w:t>
            </w:r>
          </w:p>
        </w:tc>
      </w:tr>
      <w:tr w14:paraId="709BC084">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D3C9">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D9033">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C7A0">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0976">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投标人必须在交货之日起</w:t>
            </w:r>
            <w:r>
              <w:rPr>
                <w:rStyle w:val="14"/>
                <w:rFonts w:hint="default" w:hAnsi="宋体"/>
                <w:b w:val="0"/>
                <w:bCs w:val="0"/>
                <w:highlight w:val="none"/>
                <w:lang w:bidi="ar"/>
              </w:rPr>
              <w:t>60</w:t>
            </w:r>
            <w:r>
              <w:rPr>
                <w:rStyle w:val="15"/>
                <w:rFonts w:hint="default" w:hAnsi="宋体"/>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0F00B230">
        <w:tblPrEx>
          <w:tblCellMar>
            <w:top w:w="0" w:type="dxa"/>
            <w:left w:w="108" w:type="dxa"/>
            <w:bottom w:w="0" w:type="dxa"/>
            <w:right w:w="108" w:type="dxa"/>
          </w:tblCellMar>
        </w:tblPrEx>
        <w:trPr>
          <w:trHeight w:val="1124"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8130">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9E461">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4432">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D575">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包装运输：投标人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2ADE73C5">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09642">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12C01">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0DE2">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8A1F">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投标人货物经过双方检验认可后，签署验收报告，产品保修期自验收合格之日起算，由投标人提供产品保修文件。</w:t>
            </w:r>
          </w:p>
        </w:tc>
      </w:tr>
      <w:tr w14:paraId="0BC8F38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225C">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FC6F">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266F">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50C2">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当满足以下条件时，采购人才向投标人签发货物验收报告：投标人已按照合同规定提供了全部产品及完整的技术资料。货物符合招标文件技术要求，性能满足要求。国产货物必须具备产品合格证。</w:t>
            </w:r>
          </w:p>
        </w:tc>
      </w:tr>
      <w:tr w14:paraId="590A73F0">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303B">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1043">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C975">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75A7">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凡属于国家规定强制检测的设备项目，都必须具备计量质检部门的检测合格证。</w:t>
            </w:r>
          </w:p>
        </w:tc>
      </w:tr>
      <w:tr w14:paraId="47ED3987">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EAA17">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FD70D">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C505">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381A">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验收过程中，如采购人拟对货物质量进行实质验收时，有权邀请第三方检测机构对货物进行检测或测试，因此所需的费用由投标人承担。</w:t>
            </w:r>
          </w:p>
        </w:tc>
      </w:tr>
      <w:tr w14:paraId="08AC6F27">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4C216">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6C23A">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E4D6">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E7AA">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11427765">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0F186">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E9106">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69E0">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6FEC">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在验收过程中，中标人需出具与设备制造商签订的与原合同条款一致的维保合同或原厂维保承诺函。</w:t>
            </w:r>
          </w:p>
        </w:tc>
      </w:tr>
      <w:tr w14:paraId="52614B1F">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B1C2F">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4FD47">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948F">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373F">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须支持物联网协议，便于与医院信息系统的对接，按采购人要求无条件开放数据交换接口，并提供技术支持（中标投标人不得向采购人收取额外的费用），并保证所使用软件的合法性，任何知识产权纠纷与采购人无关。</w:t>
            </w:r>
          </w:p>
        </w:tc>
      </w:tr>
      <w:tr w14:paraId="7A1363B8">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B8ED">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2660B">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76E9">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83FD">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69364AD8">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81F4">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4E14">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FFFA">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E1D4">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07507EFE">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2F96">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75A5">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00D9">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70BA">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7840C3A2">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8DA5">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AD5B3">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F6F0">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36E5">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1A3DC0A1">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E12E3">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7842E">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99E5">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E771">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合同生效后，货到指定地点，安装验收合格后，采购人收到投标人提供的相应金额合法有效发票后，支付合同总金额的100%。</w:t>
            </w:r>
          </w:p>
        </w:tc>
      </w:tr>
      <w:tr w14:paraId="35775D2E">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AD84">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4704D">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186">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EC92">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052C9A66">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73C5">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C2009">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E072">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53D3">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17467605">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BFF3E">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BAC3E">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7B46">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017B">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523E761">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A6959">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83267">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86AB">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FB28">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7420F2E7">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3068">
            <w:pPr>
              <w:jc w:val="center"/>
              <w:rPr>
                <w:rFonts w:hint="eastAsia"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DDA26">
            <w:pPr>
              <w:jc w:val="center"/>
              <w:rPr>
                <w:rFonts w:hint="eastAsia"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1E0">
            <w:pPr>
              <w:widowControl/>
              <w:jc w:val="center"/>
              <w:textAlignment w:val="center"/>
              <w:rPr>
                <w:rFonts w:hint="eastAsia"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51B2">
            <w:pPr>
              <w:widowControl/>
              <w:textAlignment w:val="center"/>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1785AB30">
      <w:pPr>
        <w:pStyle w:val="2"/>
        <w:spacing w:before="0" w:after="0" w:line="240" w:lineRule="auto"/>
        <w:rPr>
          <w:rFonts w:hint="eastAsia" w:ascii="仿宋" w:hAnsi="仿宋" w:eastAsia="仿宋"/>
          <w:sz w:val="28"/>
          <w:szCs w:val="28"/>
          <w:highlight w:val="none"/>
        </w:rPr>
      </w:pPr>
      <w:r>
        <w:rPr>
          <w:rFonts w:hint="eastAsia" w:ascii="仿宋_GB2312" w:hAnsi="仿宋_GB2312" w:eastAsia="仿宋_GB2312" w:cs="仿宋_GB2312"/>
          <w:sz w:val="28"/>
          <w:szCs w:val="28"/>
          <w:highlight w:val="none"/>
        </w:rPr>
        <w:t>（七）</w:t>
      </w:r>
      <w:r>
        <w:rPr>
          <w:rFonts w:hint="eastAsia" w:ascii="仿宋" w:hAnsi="仿宋" w:eastAsia="仿宋"/>
          <w:sz w:val="28"/>
          <w:szCs w:val="28"/>
          <w:highlight w:val="none"/>
        </w:rPr>
        <w:t>评审规则：</w:t>
      </w:r>
    </w:p>
    <w:p w14:paraId="18C4A8A9">
      <w:pPr>
        <w:adjustRightInd w:val="0"/>
        <w:snapToGrid w:val="0"/>
        <w:jc w:val="left"/>
        <w:rPr>
          <w:rFonts w:hint="eastAsia" w:ascii="仿宋_GB2312" w:hAnsi="仿宋_GB2312" w:eastAsia="仿宋_GB2312" w:cs="仿宋_GB2312"/>
          <w:color w:val="FF0000"/>
          <w:sz w:val="24"/>
          <w:szCs w:val="24"/>
          <w:highlight w:val="none"/>
        </w:rPr>
      </w:pPr>
      <w:r>
        <w:rPr>
          <w:rFonts w:hint="eastAsia" w:ascii="仿宋" w:hAnsi="仿宋" w:eastAsia="仿宋"/>
          <w:sz w:val="28"/>
          <w:szCs w:val="28"/>
          <w:highlight w:val="none"/>
        </w:rPr>
        <w:t>1.评标方法：综合评分法</w:t>
      </w:r>
    </w:p>
    <w:p w14:paraId="696A4A06">
      <w:pPr>
        <w:adjustRightInd w:val="0"/>
        <w:snapToGrid w:val="0"/>
        <w:jc w:val="left"/>
        <w:rPr>
          <w:rFonts w:hint="eastAsia" w:ascii="仿宋_GB2312" w:hAnsi="仿宋_GB2312" w:eastAsia="仿宋_GB2312" w:cs="仿宋_GB2312"/>
          <w:color w:val="FF0000"/>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0C6EFB6F">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57450"/>
    <w:rsid w:val="00061E07"/>
    <w:rsid w:val="000E36CD"/>
    <w:rsid w:val="00160CAF"/>
    <w:rsid w:val="00162818"/>
    <w:rsid w:val="001F7CFD"/>
    <w:rsid w:val="00216720"/>
    <w:rsid w:val="002277A4"/>
    <w:rsid w:val="0028556C"/>
    <w:rsid w:val="002A22F1"/>
    <w:rsid w:val="00681410"/>
    <w:rsid w:val="007560D4"/>
    <w:rsid w:val="0078244A"/>
    <w:rsid w:val="0085459D"/>
    <w:rsid w:val="008914B7"/>
    <w:rsid w:val="009B6040"/>
    <w:rsid w:val="00A141FA"/>
    <w:rsid w:val="00B36498"/>
    <w:rsid w:val="00B97AED"/>
    <w:rsid w:val="00BD2F06"/>
    <w:rsid w:val="00BF1565"/>
    <w:rsid w:val="00C9106E"/>
    <w:rsid w:val="00D37065"/>
    <w:rsid w:val="00DD7843"/>
    <w:rsid w:val="00E0589E"/>
    <w:rsid w:val="00EA3FAC"/>
    <w:rsid w:val="00F43941"/>
    <w:rsid w:val="00FF48A7"/>
    <w:rsid w:val="070C402D"/>
    <w:rsid w:val="072544E1"/>
    <w:rsid w:val="08F271B7"/>
    <w:rsid w:val="092B34AD"/>
    <w:rsid w:val="0C6A7D1D"/>
    <w:rsid w:val="0D532C76"/>
    <w:rsid w:val="1C4A5F2B"/>
    <w:rsid w:val="1D3E161D"/>
    <w:rsid w:val="236D2673"/>
    <w:rsid w:val="268A3AF4"/>
    <w:rsid w:val="28D420E4"/>
    <w:rsid w:val="2B033E75"/>
    <w:rsid w:val="2CBA4A07"/>
    <w:rsid w:val="312A0667"/>
    <w:rsid w:val="31BC3D81"/>
    <w:rsid w:val="345D1B1D"/>
    <w:rsid w:val="386B2CF7"/>
    <w:rsid w:val="3BE455FD"/>
    <w:rsid w:val="3DA24B99"/>
    <w:rsid w:val="3F786788"/>
    <w:rsid w:val="41287133"/>
    <w:rsid w:val="418F2299"/>
    <w:rsid w:val="42150AD9"/>
    <w:rsid w:val="46F63E6D"/>
    <w:rsid w:val="47946129"/>
    <w:rsid w:val="486848B4"/>
    <w:rsid w:val="4B4916C7"/>
    <w:rsid w:val="4C4243A5"/>
    <w:rsid w:val="4F624D5E"/>
    <w:rsid w:val="51D9166A"/>
    <w:rsid w:val="539D45B7"/>
    <w:rsid w:val="5610342A"/>
    <w:rsid w:val="59266DFD"/>
    <w:rsid w:val="5FC16219"/>
    <w:rsid w:val="61A96E48"/>
    <w:rsid w:val="6C70102E"/>
    <w:rsid w:val="6D282CEC"/>
    <w:rsid w:val="6E0472B5"/>
    <w:rsid w:val="6F3B8FB2"/>
    <w:rsid w:val="715278CE"/>
    <w:rsid w:val="74974D88"/>
    <w:rsid w:val="74B15375"/>
    <w:rsid w:val="75AE135E"/>
    <w:rsid w:val="7B2F2690"/>
    <w:rsid w:val="7CFE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left="704" w:hanging="420"/>
    </w:pPr>
    <w:rPr>
      <w:rFonts w:ascii="Times New Roman" w:hAnsi="Times New Roman" w:eastAsia="黑体" w:cs="Times New Roman"/>
      <w:sz w:val="32"/>
      <w:szCs w:val="24"/>
    </w:rPr>
  </w:style>
  <w:style w:type="character" w:customStyle="1" w:styleId="13">
    <w:name w:val="标题 1 字符"/>
    <w:basedOn w:val="8"/>
    <w:link w:val="2"/>
    <w:qFormat/>
    <w:uiPriority w:val="9"/>
    <w:rPr>
      <w:b/>
      <w:bCs/>
      <w:kern w:val="44"/>
      <w:sz w:val="44"/>
      <w:szCs w:val="44"/>
    </w:rPr>
  </w:style>
  <w:style w:type="character" w:customStyle="1" w:styleId="14">
    <w:name w:val="font21"/>
    <w:basedOn w:val="8"/>
    <w:autoRedefine/>
    <w:qFormat/>
    <w:uiPriority w:val="0"/>
    <w:rPr>
      <w:rFonts w:hint="eastAsia" w:ascii="仿宋_GB2312" w:eastAsia="仿宋_GB2312" w:cs="仿宋_GB2312"/>
      <w:b/>
      <w:bCs/>
      <w:color w:val="000000"/>
      <w:sz w:val="28"/>
      <w:szCs w:val="28"/>
      <w:u w:val="none"/>
    </w:rPr>
  </w:style>
  <w:style w:type="character" w:customStyle="1" w:styleId="15">
    <w:name w:val="font31"/>
    <w:basedOn w:val="8"/>
    <w:autoRedefine/>
    <w:qFormat/>
    <w:uiPriority w:val="0"/>
    <w:rPr>
      <w:rFonts w:hint="eastAsia" w:ascii="仿宋_GB2312" w:eastAsia="仿宋_GB2312" w:cs="仿宋_GB2312"/>
      <w:color w:val="000000"/>
      <w:sz w:val="28"/>
      <w:szCs w:val="28"/>
      <w:u w:val="none"/>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2173</Words>
  <Characters>2332</Characters>
  <Lines>53</Lines>
  <Paragraphs>15</Paragraphs>
  <TotalTime>1</TotalTime>
  <ScaleCrop>false</ScaleCrop>
  <LinksUpToDate>false</LinksUpToDate>
  <CharactersWithSpaces>2480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2025-07-16T00:51:33Z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8ED21603180E4753B17C03CA9C043E06_13</vt:lpwstr>
  </property>
  <property fmtid="{D5CDD505-2E9C-101B-9397-08002B2CF9AE}" pid="4" name="KSOTemplateDocerSaveRecord">
    <vt:lpwstr>eyJoZGlkIjoiOTgxNzhhZWVjZDVjYzFiNzUyN2FlYmU1YTIwNTA2N2MiLCJ1c2VySWQiOiIxMTI2ODg3MDA2In0=</vt:lpwstr>
  </property>
</Properties>
</file>