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49C2C1">
      <w:pPr>
        <w:pStyle w:val="11"/>
        <w:widowControl/>
        <w:numPr>
          <w:ilvl w:val="0"/>
          <w:numId w:val="1"/>
        </w:numPr>
        <w:spacing w:line="360" w:lineRule="auto"/>
        <w:jc w:val="left"/>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项目基本情况</w:t>
      </w:r>
    </w:p>
    <w:p w14:paraId="30CBC62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项目名称</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生命体征监测仪   </w:t>
      </w:r>
    </w:p>
    <w:p w14:paraId="3159F1BD">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项目预算</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 xml:space="preserve">3万元 </w:t>
      </w:r>
    </w:p>
    <w:p w14:paraId="752E2AC0">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eastAsia="zh-CN"/>
        </w:rPr>
      </w:pPr>
      <w:r>
        <w:rPr>
          <w:rFonts w:hint="eastAsia" w:ascii="仿宋_GB2312" w:hAnsi="仿宋_GB2312" w:eastAsia="仿宋_GB2312" w:cs="仿宋_GB2312"/>
          <w:kern w:val="0"/>
          <w:sz w:val="28"/>
          <w:szCs w:val="28"/>
          <w:highlight w:val="none"/>
        </w:rPr>
        <w:t>项目</w:t>
      </w:r>
      <w:r>
        <w:rPr>
          <w:rFonts w:hint="eastAsia" w:ascii="仿宋_GB2312" w:hAnsi="仿宋_GB2312" w:eastAsia="仿宋_GB2312" w:cs="仿宋_GB2312"/>
          <w:kern w:val="0"/>
          <w:sz w:val="28"/>
          <w:szCs w:val="28"/>
          <w:highlight w:val="none"/>
          <w:lang w:val="en-US" w:eastAsia="zh-CN"/>
        </w:rPr>
        <w:t>报价类型</w:t>
      </w:r>
      <w:r>
        <w:rPr>
          <w:rFonts w:hint="eastAsia" w:ascii="仿宋_GB2312" w:hAnsi="仿宋_GB2312" w:eastAsia="仿宋_GB2312" w:cs="仿宋_GB2312"/>
          <w:kern w:val="0"/>
          <w:sz w:val="28"/>
          <w:szCs w:val="28"/>
          <w:highlight w:val="none"/>
          <w:lang w:eastAsia="zh-CN"/>
        </w:rPr>
        <w:t>：</w:t>
      </w:r>
      <w:r>
        <w:rPr>
          <w:rFonts w:hint="eastAsia" w:ascii="仿宋_GB2312" w:hAnsi="仿宋_GB2312" w:eastAsia="仿宋_GB2312" w:cs="仿宋_GB2312"/>
          <w:kern w:val="0"/>
          <w:sz w:val="28"/>
          <w:szCs w:val="28"/>
          <w:highlight w:val="none"/>
          <w:lang w:val="en-US" w:eastAsia="zh-CN"/>
        </w:rPr>
        <w:t>总价</w:t>
      </w:r>
    </w:p>
    <w:p w14:paraId="43A2033A">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资金来源：单位资金</w:t>
      </w:r>
    </w:p>
    <w:p w14:paraId="0444FBD3">
      <w:pPr>
        <w:pStyle w:val="11"/>
        <w:widowControl/>
        <w:numPr>
          <w:ilvl w:val="0"/>
          <w:numId w:val="2"/>
        </w:numPr>
        <w:spacing w:line="360" w:lineRule="auto"/>
        <w:ind w:left="-420" w:leftChars="0" w:firstLine="420" w:firstLineChars="0"/>
        <w:jc w:val="left"/>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kern w:val="0"/>
          <w:sz w:val="28"/>
          <w:szCs w:val="28"/>
          <w:highlight w:val="none"/>
          <w:lang w:val="en-US" w:eastAsia="zh-CN"/>
        </w:rPr>
        <w:t>采购类别：货物</w:t>
      </w:r>
    </w:p>
    <w:p w14:paraId="394FBE4B">
      <w:pPr>
        <w:pStyle w:val="11"/>
        <w:widowControl/>
        <w:numPr>
          <w:ilvl w:val="0"/>
          <w:numId w:val="1"/>
        </w:numPr>
        <w:spacing w:line="36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b/>
          <w:color w:val="000000" w:themeColor="text1"/>
          <w:kern w:val="0"/>
          <w:sz w:val="28"/>
          <w:szCs w:val="28"/>
          <w:highlight w:val="none"/>
          <w:lang w:val="en-US" w:eastAsia="zh-CN"/>
          <w14:textFill>
            <w14:solidFill>
              <w14:schemeClr w14:val="tx1"/>
            </w14:solidFill>
          </w14:textFill>
        </w:rPr>
        <w:t>项目</w:t>
      </w:r>
      <w:r>
        <w:rPr>
          <w:rFonts w:hint="eastAsia" w:ascii="仿宋_GB2312" w:hAnsi="仿宋_GB2312" w:eastAsia="仿宋_GB2312" w:cs="仿宋_GB2312"/>
          <w:b/>
          <w:color w:val="000000" w:themeColor="text1"/>
          <w:kern w:val="0"/>
          <w:sz w:val="28"/>
          <w:szCs w:val="28"/>
          <w:highlight w:val="none"/>
          <w14:textFill>
            <w14:solidFill>
              <w14:schemeClr w14:val="tx1"/>
            </w14:solidFill>
          </w14:textFill>
        </w:rPr>
        <w:t>采购需求</w:t>
      </w:r>
      <w:r>
        <w:rPr>
          <w:rFonts w:hint="eastAsia" w:ascii="仿宋_GB2312" w:hAnsi="仿宋_GB2312" w:eastAsia="仿宋_GB2312" w:cs="仿宋_GB2312"/>
          <w:b/>
          <w:color w:val="000000" w:themeColor="text1"/>
          <w:kern w:val="0"/>
          <w:sz w:val="28"/>
          <w:szCs w:val="28"/>
          <w:highlight w:val="none"/>
          <w:lang w:eastAsia="zh-CN"/>
          <w14:textFill>
            <w14:solidFill>
              <w14:schemeClr w14:val="tx1"/>
            </w14:solidFill>
          </w14:textFill>
        </w:rPr>
        <w:t>：</w:t>
      </w:r>
    </w:p>
    <w:p w14:paraId="4033A6BD">
      <w:pPr>
        <w:pStyle w:val="11"/>
        <w:widowControl/>
        <w:numPr>
          <w:ilvl w:val="0"/>
          <w:numId w:val="3"/>
        </w:numPr>
        <w:spacing w:line="360" w:lineRule="auto"/>
        <w:ind w:leftChars="0"/>
        <w:jc w:val="left"/>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rPr>
        <w:t>采购项目需实现的功能和目标：</w:t>
      </w:r>
      <w:r>
        <w:rPr>
          <w:rFonts w:hint="eastAsia" w:ascii="仿宋_GB2312" w:hAnsi="仿宋_GB2312" w:eastAsia="仿宋_GB2312" w:cs="仿宋_GB2312"/>
          <w:sz w:val="28"/>
          <w:szCs w:val="28"/>
          <w:highlight w:val="none"/>
          <w:lang w:val="en-US" w:eastAsia="zh-CN"/>
        </w:rPr>
        <w:t xml:space="preserve"> </w:t>
      </w:r>
    </w:p>
    <w:p w14:paraId="1F346185">
      <w:pPr>
        <w:pStyle w:val="11"/>
        <w:widowControl/>
        <w:numPr>
          <w:ilvl w:val="0"/>
          <w:numId w:val="4"/>
        </w:numPr>
        <w:spacing w:line="360" w:lineRule="auto"/>
        <w:ind w:left="425" w:leftChars="0" w:hanging="425" w:firstLine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lang w:val="en-US" w:eastAsia="zh-CN"/>
        </w:rPr>
        <w:t>生命体征监护仪可实时监测患者的无创血压、血氧、脉搏、体温等参数，并在出现异常时及时预警，提醒医护人员迅速做出反应。</w:t>
      </w:r>
    </w:p>
    <w:p w14:paraId="2540539B">
      <w:pPr>
        <w:pStyle w:val="11"/>
        <w:widowControl/>
        <w:numPr>
          <w:ilvl w:val="0"/>
          <w:numId w:val="4"/>
        </w:numPr>
        <w:spacing w:line="360" w:lineRule="auto"/>
        <w:ind w:left="425" w:leftChars="0" w:hanging="425" w:firstLine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val="en-US" w:eastAsia="zh-CN"/>
        </w:rPr>
        <w:t>测量数据与HIS系统关联，实现患者生命体征自动化录入预检分诊系统。</w:t>
      </w:r>
    </w:p>
    <w:p w14:paraId="4EBD1167">
      <w:pPr>
        <w:pStyle w:val="11"/>
        <w:widowControl/>
        <w:numPr>
          <w:ilvl w:val="0"/>
          <w:numId w:val="4"/>
        </w:numPr>
        <w:spacing w:line="360" w:lineRule="auto"/>
        <w:ind w:left="425" w:leftChars="0" w:hanging="425" w:firstLineChars="0"/>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u w:val="single"/>
          <w:lang w:val="en-US" w:eastAsia="zh-CN"/>
        </w:rPr>
        <w:t>设备具有EWS早期预警评分系统，通过测量数据提醒医护人员及时发现患者病情，为临床决策提供支持。</w:t>
      </w:r>
    </w:p>
    <w:p w14:paraId="18BB3F1B">
      <w:pPr>
        <w:spacing w:line="36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（二）项目属性：</w:t>
      </w:r>
    </w:p>
    <w:p w14:paraId="6270BB29">
      <w:pPr>
        <w:numPr>
          <w:ilvl w:val="0"/>
          <w:numId w:val="5"/>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是否适宜由中小企业提供，并专门面向中小企业采购 </w:t>
      </w:r>
    </w:p>
    <w:p w14:paraId="19C8F142">
      <w:pPr>
        <w:numPr>
          <w:ilvl w:val="0"/>
          <w:numId w:val="6"/>
        </w:numPr>
        <w:spacing w:line="360" w:lineRule="auto"/>
        <w:ind w:left="425" w:leftChars="0" w:hanging="425" w:firstLineChars="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□是         □是否仅面向小微企业</w:t>
      </w:r>
    </w:p>
    <w:p w14:paraId="41D03029">
      <w:pPr>
        <w:numPr>
          <w:ilvl w:val="0"/>
          <w:numId w:val="6"/>
        </w:numPr>
        <w:spacing w:line="360" w:lineRule="auto"/>
        <w:ind w:left="425" w:leftChars="0" w:hanging="425" w:firstLineChars="0"/>
        <w:rPr>
          <w:rFonts w:ascii="仿宋" w:hAnsi="仿宋" w:eastAsia="仿宋"/>
          <w:sz w:val="28"/>
          <w:szCs w:val="28"/>
          <w:highlight w:val="none"/>
          <w:u w:val="single"/>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否，原因说明</w:t>
      </w:r>
      <w:r>
        <w:rPr>
          <w:rFonts w:hint="eastAsia" w:ascii="仿宋_GB2312" w:hAnsi="仿宋_GB2312" w:eastAsia="仿宋_GB2312" w:cs="仿宋_GB2312"/>
          <w:sz w:val="28"/>
          <w:szCs w:val="28"/>
          <w:highlight w:val="none"/>
          <w:lang w:eastAsia="zh-CN"/>
        </w:rPr>
        <w:t>：</w:t>
      </w:r>
      <w:r>
        <w:rPr>
          <w:rFonts w:hint="eastAsia" w:ascii="仿宋" w:hAnsi="仿宋" w:eastAsia="仿宋"/>
          <w:sz w:val="28"/>
          <w:szCs w:val="28"/>
          <w:highlight w:val="none"/>
          <w:u w:val="single"/>
        </w:rPr>
        <w:t>按照办法规定预留采购份额无法确保充分供应、充分竞争，或者存在可能影响政府采购目标实现的情形</w:t>
      </w:r>
      <w:r>
        <w:rPr>
          <w:rFonts w:hint="eastAsia" w:ascii="仿宋" w:hAnsi="仿宋" w:eastAsia="仿宋"/>
          <w:sz w:val="28"/>
          <w:szCs w:val="28"/>
          <w:highlight w:val="none"/>
          <w:u w:val="single"/>
          <w:lang w:eastAsia="zh-CN"/>
        </w:rPr>
        <w:t>。</w:t>
      </w:r>
    </w:p>
    <w:p w14:paraId="55EE44AB">
      <w:pPr>
        <w:numPr>
          <w:ilvl w:val="0"/>
          <w:numId w:val="7"/>
        </w:numPr>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lang w:val="en-US" w:eastAsia="zh-CN"/>
        </w:rPr>
        <w:t>是否接受</w:t>
      </w:r>
      <w:r>
        <w:rPr>
          <w:rFonts w:hint="eastAsia" w:ascii="仿宋_GB2312" w:hAnsi="仿宋_GB2312" w:eastAsia="仿宋_GB2312" w:cs="仿宋_GB2312"/>
          <w:b/>
          <w:bCs/>
          <w:sz w:val="28"/>
          <w:szCs w:val="28"/>
          <w:highlight w:val="none"/>
        </w:rPr>
        <w:t>联合体投标</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是</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s="仿宋_GB2312"/>
          <w:sz w:val="28"/>
          <w:szCs w:val="28"/>
          <w:highlight w:val="none"/>
        </w:rPr>
        <w:t>否</w:t>
      </w:r>
    </w:p>
    <w:p w14:paraId="364C7258">
      <w:pPr>
        <w:spacing w:line="360" w:lineRule="auto"/>
        <w:rPr>
          <w:rFonts w:hint="eastAsia" w:ascii="仿宋_GB2312" w:hAnsi="仿宋_GB2312" w:eastAsia="仿宋_GB2312" w:cs="仿宋_GB2312"/>
          <w:b/>
          <w:bCs/>
          <w:sz w:val="28"/>
          <w:szCs w:val="28"/>
          <w:highlight w:val="none"/>
          <w:lang w:eastAsia="zh-CN"/>
        </w:rPr>
      </w:pPr>
      <w:r>
        <w:rPr>
          <w:rFonts w:hint="eastAsia" w:ascii="仿宋" w:hAnsi="仿宋" w:eastAsia="仿宋"/>
          <w:b/>
          <w:bCs/>
          <w:sz w:val="32"/>
          <w:szCs w:val="32"/>
          <w:highlight w:val="none"/>
        </w:rPr>
        <w:t>（</w:t>
      </w:r>
      <w:r>
        <w:rPr>
          <w:rFonts w:hint="eastAsia" w:ascii="仿宋_GB2312" w:hAnsi="仿宋_GB2312" w:eastAsia="仿宋_GB2312" w:cs="仿宋_GB2312"/>
          <w:b/>
          <w:bCs/>
          <w:sz w:val="28"/>
          <w:szCs w:val="28"/>
          <w:highlight w:val="none"/>
          <w:lang w:val="en-US" w:eastAsia="zh-CN"/>
        </w:rPr>
        <w:t>四</w:t>
      </w:r>
      <w:r>
        <w:rPr>
          <w:rFonts w:hint="eastAsia" w:ascii="仿宋_GB2312" w:hAnsi="仿宋_GB2312" w:eastAsia="仿宋_GB2312" w:cs="仿宋_GB2312"/>
          <w:b/>
          <w:bCs/>
          <w:sz w:val="28"/>
          <w:szCs w:val="28"/>
          <w:highlight w:val="none"/>
        </w:rPr>
        <w:t>）采购标的汇总表</w:t>
      </w:r>
      <w:r>
        <w:rPr>
          <w:rFonts w:hint="eastAsia" w:ascii="仿宋_GB2312" w:hAnsi="仿宋_GB2312" w:eastAsia="仿宋_GB2312" w:cs="仿宋_GB2312"/>
          <w:b/>
          <w:bCs/>
          <w:sz w:val="28"/>
          <w:szCs w:val="28"/>
          <w:highlight w:val="none"/>
          <w:lang w:eastAsia="zh-CN"/>
        </w:rPr>
        <w:t>：</w:t>
      </w: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2331"/>
        <w:gridCol w:w="1601"/>
        <w:gridCol w:w="968"/>
        <w:gridCol w:w="1200"/>
        <w:gridCol w:w="2065"/>
      </w:tblGrid>
      <w:tr w14:paraId="6E646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63" w:hRule="atLeast"/>
          <w:jc w:val="center"/>
        </w:trPr>
        <w:tc>
          <w:tcPr>
            <w:tcW w:w="1405" w:type="dxa"/>
            <w:shd w:val="clear" w:color="auto" w:fill="FFFFFF"/>
            <w:tcMar>
              <w:top w:w="0" w:type="dxa"/>
              <w:right w:w="0" w:type="dxa"/>
            </w:tcMar>
            <w:vAlign w:val="center"/>
          </w:tcPr>
          <w:p w14:paraId="720C938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sz w:val="28"/>
                <w:szCs w:val="28"/>
                <w:highlight w:val="none"/>
                <w:lang w:val="en-US" w:eastAsia="zh-CN"/>
              </w:rPr>
              <w:t>项目</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名称</w:t>
            </w:r>
          </w:p>
        </w:tc>
        <w:tc>
          <w:tcPr>
            <w:tcW w:w="2331" w:type="dxa"/>
            <w:shd w:val="clear" w:color="auto" w:fill="FFFFFF"/>
            <w:tcMar>
              <w:top w:w="0" w:type="dxa"/>
              <w:right w:w="0" w:type="dxa"/>
            </w:tcMar>
            <w:vAlign w:val="center"/>
          </w:tcPr>
          <w:p w14:paraId="5D1646F0">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品目 （政府采购品目分类目录）</w:t>
            </w:r>
          </w:p>
        </w:tc>
        <w:tc>
          <w:tcPr>
            <w:tcW w:w="1601" w:type="dxa"/>
            <w:shd w:val="clear" w:color="auto" w:fill="FFFFFF"/>
            <w:tcMar>
              <w:top w:w="0" w:type="dxa"/>
              <w:right w:w="0" w:type="dxa"/>
            </w:tcMar>
            <w:vAlign w:val="center"/>
          </w:tcPr>
          <w:p w14:paraId="3AAC511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计量单位</w:t>
            </w:r>
          </w:p>
        </w:tc>
        <w:tc>
          <w:tcPr>
            <w:tcW w:w="968" w:type="dxa"/>
            <w:shd w:val="clear" w:color="auto" w:fill="FFFFFF"/>
            <w:vAlign w:val="center"/>
          </w:tcPr>
          <w:p w14:paraId="7FAF820B">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数量</w:t>
            </w:r>
          </w:p>
        </w:tc>
        <w:tc>
          <w:tcPr>
            <w:tcW w:w="1200" w:type="dxa"/>
            <w:shd w:val="clear" w:color="auto" w:fill="FFFFFF"/>
            <w:vAlign w:val="center"/>
          </w:tcPr>
          <w:p w14:paraId="0727C6FC">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总</w:t>
            </w: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预算</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元</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c>
          <w:tcPr>
            <w:tcW w:w="2065" w:type="dxa"/>
            <w:shd w:val="clear" w:color="auto" w:fill="FFFFFF"/>
            <w:tcMar>
              <w:top w:w="0" w:type="dxa"/>
              <w:right w:w="0" w:type="dxa"/>
            </w:tcMar>
            <w:vAlign w:val="center"/>
          </w:tcPr>
          <w:p w14:paraId="0B1CE406">
            <w:pPr>
              <w:autoSpaceDE w:val="0"/>
              <w:autoSpaceDN w:val="0"/>
              <w:adjustRightInd w:val="0"/>
              <w:spacing w:line="240" w:lineRule="auto"/>
              <w:jc w:val="cente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pPr>
            <w:r>
              <w:rPr>
                <w:rFonts w:hint="eastAsia" w:ascii="仿宋_GB2312" w:hAnsi="仿宋_GB2312" w:eastAsia="仿宋_GB2312" w:cs="仿宋_GB2312"/>
                <w:color w:val="000000" w:themeColor="text1"/>
                <w:kern w:val="0"/>
                <w:sz w:val="28"/>
                <w:szCs w:val="28"/>
                <w:highlight w:val="none"/>
                <w14:textFill>
                  <w14:solidFill>
                    <w14:schemeClr w14:val="tx1"/>
                  </w14:solidFill>
                </w14:textFill>
              </w:rPr>
              <w:t>是否进口</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r>
              <w:rPr>
                <w:rFonts w:hint="eastAsia" w:ascii="仿宋_GB2312" w:hAnsi="仿宋_GB2312" w:eastAsia="仿宋_GB2312" w:cs="仿宋_GB2312"/>
                <w:color w:val="000000" w:themeColor="text1"/>
                <w:kern w:val="0"/>
                <w:sz w:val="28"/>
                <w:szCs w:val="28"/>
                <w:highlight w:val="none"/>
                <w:lang w:val="en-US" w:eastAsia="zh-CN"/>
                <w14:textFill>
                  <w14:solidFill>
                    <w14:schemeClr w14:val="tx1"/>
                  </w14:solidFill>
                </w14:textFill>
              </w:rPr>
              <w:t>货物类提供</w:t>
            </w:r>
            <w:r>
              <w:rPr>
                <w:rFonts w:hint="eastAsia" w:ascii="仿宋_GB2312" w:hAnsi="仿宋_GB2312" w:eastAsia="仿宋_GB2312" w:cs="仿宋_GB2312"/>
                <w:color w:val="000000" w:themeColor="text1"/>
                <w:kern w:val="0"/>
                <w:sz w:val="28"/>
                <w:szCs w:val="28"/>
                <w:highlight w:val="none"/>
                <w:lang w:eastAsia="zh-CN"/>
                <w14:textFill>
                  <w14:solidFill>
                    <w14:schemeClr w14:val="tx1"/>
                  </w14:solidFill>
                </w14:textFill>
              </w:rPr>
              <w:t>）</w:t>
            </w:r>
          </w:p>
        </w:tc>
      </w:tr>
      <w:tr w14:paraId="2F76F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405" w:type="dxa"/>
            <w:shd w:val="clear" w:color="auto" w:fill="FFFFFF"/>
            <w:tcMar>
              <w:top w:w="0" w:type="dxa"/>
              <w:right w:w="0" w:type="dxa"/>
            </w:tcMar>
            <w:vAlign w:val="center"/>
          </w:tcPr>
          <w:p w14:paraId="4FAF42DE">
            <w:pPr>
              <w:autoSpaceDE w:val="0"/>
              <w:autoSpaceDN w:val="0"/>
              <w:adjustRightInd w:val="0"/>
              <w:jc w:val="center"/>
              <w:rPr>
                <w:rFonts w:hint="default" w:ascii="仿宋_GB2312" w:hAnsi="仿宋_GB2312" w:eastAsia="仿宋_GB2312" w:cs="仿宋_GB2312"/>
                <w:color w:val="5E6B87"/>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w:t>
            </w:r>
            <w:r>
              <w:rPr>
                <w:rFonts w:hint="eastAsia" w:ascii="仿宋_GB2312" w:hAnsi="仿宋_GB2312" w:eastAsia="仿宋_GB2312" w:cs="仿宋_GB2312"/>
                <w:kern w:val="0"/>
                <w:sz w:val="28"/>
                <w:szCs w:val="28"/>
                <w:highlight w:val="none"/>
                <w:lang w:val="en-US" w:eastAsia="zh-CN"/>
              </w:rPr>
              <w:t xml:space="preserve">生命体征监测仪 </w:t>
            </w:r>
            <w:r>
              <w:rPr>
                <w:rFonts w:hint="eastAsia" w:ascii="仿宋_GB2312" w:hAnsi="仿宋_GB2312" w:eastAsia="仿宋_GB2312" w:cs="仿宋_GB2312"/>
                <w:color w:val="5E6B87"/>
                <w:kern w:val="0"/>
                <w:sz w:val="28"/>
                <w:szCs w:val="28"/>
                <w:highlight w:val="none"/>
                <w:lang w:val="en-US" w:eastAsia="zh-CN"/>
              </w:rPr>
              <w:t xml:space="preserve"> </w:t>
            </w:r>
          </w:p>
        </w:tc>
        <w:tc>
          <w:tcPr>
            <w:tcW w:w="2331" w:type="dxa"/>
            <w:shd w:val="clear" w:color="auto" w:fill="FFFFFF"/>
            <w:tcMar>
              <w:top w:w="0" w:type="dxa"/>
              <w:right w:w="0" w:type="dxa"/>
            </w:tcMar>
            <w:vAlign w:val="center"/>
          </w:tcPr>
          <w:p w14:paraId="0794CEF9">
            <w:pPr>
              <w:autoSpaceDE w:val="0"/>
              <w:autoSpaceDN w:val="0"/>
              <w:adjustRightInd w:val="0"/>
              <w:jc w:val="center"/>
              <w:rPr>
                <w:rFonts w:hint="eastAsia" w:ascii="仿宋_GB2312" w:hAnsi="仿宋_GB2312" w:eastAsia="仿宋_GB2312" w:cs="仿宋_GB2312"/>
                <w:color w:val="5E6B87"/>
                <w:kern w:val="0"/>
                <w:sz w:val="28"/>
                <w:szCs w:val="28"/>
                <w:highlight w:val="none"/>
                <w:lang w:eastAsia="zh-CN"/>
              </w:rPr>
            </w:pPr>
            <w:r>
              <w:rPr>
                <w:rFonts w:hint="eastAsia" w:ascii="仿宋_GB2312" w:hAnsi="仿宋_GB2312" w:eastAsia="仿宋_GB2312" w:cs="仿宋_GB2312"/>
                <w:color w:val="5E6B87"/>
                <w:kern w:val="0"/>
                <w:sz w:val="28"/>
                <w:szCs w:val="28"/>
                <w:highlight w:val="none"/>
                <w:lang w:val="en-US" w:eastAsia="zh-CN"/>
              </w:rPr>
              <w:t>A02320300、医用电子生理参数检测仪器设备</w:t>
            </w:r>
          </w:p>
        </w:tc>
        <w:tc>
          <w:tcPr>
            <w:tcW w:w="1601" w:type="dxa"/>
            <w:shd w:val="clear" w:color="auto" w:fill="FFFFFF"/>
            <w:tcMar>
              <w:top w:w="0" w:type="dxa"/>
              <w:right w:w="0" w:type="dxa"/>
            </w:tcMar>
            <w:vAlign w:val="center"/>
          </w:tcPr>
          <w:p w14:paraId="72D4CB52">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台  </w:t>
            </w:r>
          </w:p>
        </w:tc>
        <w:tc>
          <w:tcPr>
            <w:tcW w:w="968" w:type="dxa"/>
            <w:shd w:val="clear" w:color="auto" w:fill="FFFFFF"/>
            <w:vAlign w:val="center"/>
          </w:tcPr>
          <w:p w14:paraId="6888F0B6">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1   </w:t>
            </w:r>
          </w:p>
        </w:tc>
        <w:tc>
          <w:tcPr>
            <w:tcW w:w="1200" w:type="dxa"/>
            <w:shd w:val="clear" w:color="auto" w:fill="FFFFFF"/>
            <w:vAlign w:val="center"/>
          </w:tcPr>
          <w:p w14:paraId="4C305FEB">
            <w:pPr>
              <w:autoSpaceDE w:val="0"/>
              <w:autoSpaceDN w:val="0"/>
              <w:adjustRightInd w:val="0"/>
              <w:jc w:val="center"/>
              <w:rPr>
                <w:rFonts w:hint="default"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3   </w:t>
            </w:r>
          </w:p>
        </w:tc>
        <w:tc>
          <w:tcPr>
            <w:tcW w:w="2065" w:type="dxa"/>
            <w:shd w:val="clear" w:color="auto" w:fill="FFFFFF"/>
            <w:tcMar>
              <w:top w:w="0" w:type="dxa"/>
              <w:right w:w="0" w:type="dxa"/>
            </w:tcMar>
            <w:vAlign w:val="center"/>
          </w:tcPr>
          <w:p w14:paraId="6562782E">
            <w:pPr>
              <w:autoSpaceDE w:val="0"/>
              <w:autoSpaceDN w:val="0"/>
              <w:adjustRightInd w:val="0"/>
              <w:jc w:val="center"/>
              <w:rPr>
                <w:rFonts w:hint="eastAsia" w:ascii="仿宋_GB2312" w:hAnsi="仿宋_GB2312" w:eastAsia="仿宋_GB2312" w:cs="仿宋_GB2312"/>
                <w:kern w:val="0"/>
                <w:sz w:val="28"/>
                <w:szCs w:val="28"/>
                <w:highlight w:val="none"/>
                <w:lang w:val="en-US" w:eastAsia="zh-CN"/>
              </w:rPr>
            </w:pPr>
            <w:r>
              <w:rPr>
                <w:rFonts w:hint="eastAsia" w:ascii="仿宋_GB2312" w:hAnsi="仿宋_GB2312" w:eastAsia="仿宋_GB2312" w:cs="仿宋_GB2312"/>
                <w:color w:val="5E6B87"/>
                <w:kern w:val="0"/>
                <w:sz w:val="28"/>
                <w:szCs w:val="28"/>
                <w:highlight w:val="none"/>
                <w:lang w:val="en-US" w:eastAsia="zh-CN"/>
              </w:rPr>
              <w:t xml:space="preserve"> 不限   </w:t>
            </w:r>
          </w:p>
        </w:tc>
      </w:tr>
    </w:tbl>
    <w:p w14:paraId="0E3F5DE1">
      <w:pPr>
        <w:numPr>
          <w:ilvl w:val="0"/>
          <w:numId w:val="0"/>
        </w:numPr>
        <w:rPr>
          <w:rFonts w:hint="eastAsia"/>
          <w:b/>
          <w:bCs/>
          <w:highlight w:val="none"/>
          <w:lang w:val="en-US" w:eastAsia="zh-CN"/>
        </w:rPr>
      </w:pP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五</w:t>
      </w:r>
      <w:r>
        <w:rPr>
          <w:rFonts w:hint="eastAsia" w:ascii="仿宋_GB2312" w:hAnsi="仿宋_GB2312" w:eastAsia="仿宋_GB2312" w:cs="仿宋_GB2312"/>
          <w:b/>
          <w:bCs/>
          <w:sz w:val="28"/>
          <w:szCs w:val="28"/>
          <w:highlight w:val="none"/>
        </w:rPr>
        <w:t>）</w:t>
      </w:r>
      <w:r>
        <w:rPr>
          <w:rFonts w:hint="eastAsia" w:ascii="仿宋_GB2312" w:hAnsi="仿宋_GB2312" w:eastAsia="仿宋_GB2312" w:cs="仿宋_GB2312"/>
          <w:b/>
          <w:bCs/>
          <w:sz w:val="28"/>
          <w:szCs w:val="28"/>
          <w:highlight w:val="none"/>
          <w:lang w:val="en-US" w:eastAsia="zh-CN"/>
        </w:rPr>
        <w:t>按照规定及项目情况设置投标供应商资格要求：</w:t>
      </w:r>
    </w:p>
    <w:p w14:paraId="2926FFA3">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投标人必须具有独立法人资格，《营业执照》、《税务登记证》、《组织机构代码证》或“三证合一”的《营业执照》并具有相关经营范围（提供相关证明扫描件，原件备查）；</w:t>
      </w:r>
    </w:p>
    <w:p w14:paraId="19D18C1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提供的设备为第一类医疗器械的，应当提供医疗行业主管部门签发的有效的《医疗器械备案凭证》；投标人提供的设备为第二、三类医疗器械的，应当提供医疗行业主管部门签发的涵盖投标人提供设备的《医疗器械注册证》。投标人应确保货物与注册证或备案凭证所附之产品技术要求相符。如所供产品不属于第一、二、三类医疗器械的，可以不提供《医疗器械备案凭证》或《医疗器械注册证》，但需提供投标人关于所供产品不属于医疗器械的相关说明（加盖投标人公章）</w:t>
      </w:r>
    </w:p>
    <w:p w14:paraId="2F1B00F6">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投标人必须是所供产品的制造商或合法代理商或合法授权投标人（提供相关证明扫描件）；若所供产品是国产产品（非进口产品），则投标人不需要提供其为所供产品的制造商或合法代理商或合法授权投标人的证明。</w:t>
      </w:r>
    </w:p>
    <w:p w14:paraId="7C57DB44">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若所供产品为进口产品，则投标人需提供由制造商或授权的中国总代理签署的合法有效的保修、维修承诺函（免费保修期满足招标文件要求）扫描件；若所供产品为国产产品，则无需提供。</w:t>
      </w:r>
    </w:p>
    <w:p w14:paraId="7FC0503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highlight w:val="none"/>
          <w:lang w:val="en-US" w:eastAsia="zh-CN"/>
        </w:rPr>
      </w:pPr>
      <w:r>
        <w:rPr>
          <w:rFonts w:hint="eastAsia" w:ascii="仿宋_GB2312" w:hAnsi="仿宋_GB2312" w:eastAsia="仿宋_GB2312" w:cs="仿宋_GB2312"/>
          <w:b w:val="0"/>
          <w:bCs w:val="0"/>
          <w:color w:val="000000" w:themeColor="text1"/>
          <w:sz w:val="24"/>
          <w:szCs w:val="24"/>
          <w:highlight w:val="none"/>
          <w:lang w:val="en-US" w:eastAsia="zh-CN"/>
          <w14:textFill>
            <w14:solidFill>
              <w14:schemeClr w14:val="tx1"/>
            </w14:solidFill>
          </w14:textFill>
        </w:rPr>
        <w:t>投标人必须承诺参与本项目投标前三年内，在经营活动中没有重大违法记录，以及参与本项目政府采购活动时不存在被有关部门禁止参与政府采购活动且在有效期内的情况（提供承诺函）；</w:t>
      </w:r>
    </w:p>
    <w:p w14:paraId="4EEEB5CB">
      <w:pPr>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六</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rPr>
        <w:t>技术</w:t>
      </w: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服务</w:t>
      </w:r>
      <w:r>
        <w:rPr>
          <w:rFonts w:hint="eastAsia" w:ascii="仿宋_GB2312" w:hAnsi="仿宋_GB2312" w:eastAsia="仿宋_GB2312" w:cs="仿宋_GB2312"/>
          <w:b/>
          <w:bCs/>
          <w:sz w:val="28"/>
          <w:szCs w:val="28"/>
          <w:highlight w:val="none"/>
        </w:rPr>
        <w:t>要求与商务要求</w:t>
      </w:r>
      <w:r>
        <w:rPr>
          <w:rFonts w:hint="eastAsia" w:ascii="仿宋_GB2312" w:hAnsi="仿宋_GB2312" w:eastAsia="仿宋_GB2312" w:cs="仿宋_GB2312"/>
          <w:b/>
          <w:bCs/>
          <w:sz w:val="28"/>
          <w:szCs w:val="28"/>
          <w:highlight w:val="none"/>
          <w:lang w:eastAsia="zh-CN"/>
        </w:rPr>
        <w:t>：</w:t>
      </w:r>
    </w:p>
    <w:p w14:paraId="3FEA7243">
      <w:pPr>
        <w:numPr>
          <w:ilvl w:val="0"/>
          <w:numId w:val="8"/>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技术要求</w:t>
      </w:r>
      <w:r>
        <w:rPr>
          <w:rFonts w:hint="eastAsia" w:ascii="仿宋_GB2312" w:hAnsi="仿宋_GB2312" w:eastAsia="仿宋_GB2312" w:cs="仿宋_GB2312"/>
          <w:sz w:val="28"/>
          <w:szCs w:val="28"/>
          <w:highlight w:val="none"/>
          <w:lang w:eastAsia="zh-CN"/>
        </w:rPr>
        <w:t>：</w:t>
      </w:r>
    </w:p>
    <w:tbl>
      <w:tblPr>
        <w:tblStyle w:val="6"/>
        <w:tblW w:w="79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6915"/>
      </w:tblGrid>
      <w:tr w14:paraId="55E09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E1E479">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序号</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65B6B">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技术要求</w:t>
            </w:r>
          </w:p>
        </w:tc>
      </w:tr>
      <w:tr w14:paraId="03F4AF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A4EE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66504">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用于监测患者的无创血压、血氧、脉搏、体温等参数</w:t>
            </w:r>
          </w:p>
        </w:tc>
      </w:tr>
      <w:tr w14:paraId="06A3AE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34D52">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CCE8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显示屏：</w:t>
            </w:r>
            <w:r>
              <w:rPr>
                <w:rFonts w:ascii="Segoe UI" w:hAnsi="Segoe UI" w:eastAsia="Segoe UI" w:cs="Segoe UI"/>
                <w:i w:val="0"/>
                <w:iCs w:val="0"/>
                <w:color w:val="404040"/>
                <w:kern w:val="0"/>
                <w:sz w:val="24"/>
                <w:szCs w:val="24"/>
                <w:highlight w:val="none"/>
                <w:u w:val="none"/>
                <w:lang w:val="en-US" w:eastAsia="zh-CN" w:bidi="ar"/>
              </w:rPr>
              <w:t>≥10</w:t>
            </w:r>
            <w:r>
              <w:rPr>
                <w:rStyle w:val="15"/>
                <w:highlight w:val="none"/>
                <w:lang w:val="en-US" w:eastAsia="zh-CN" w:bidi="ar"/>
              </w:rPr>
              <w:t>英寸彩色触摸屏，分辨率</w:t>
            </w:r>
            <w:r>
              <w:rPr>
                <w:rFonts w:ascii="Segoe UI" w:hAnsi="Segoe UI" w:eastAsia="Segoe UI" w:cs="Segoe UI"/>
                <w:i w:val="0"/>
                <w:iCs w:val="0"/>
                <w:color w:val="404040"/>
                <w:kern w:val="0"/>
                <w:sz w:val="24"/>
                <w:szCs w:val="24"/>
                <w:highlight w:val="none"/>
                <w:u w:val="none"/>
                <w:lang w:val="en-US" w:eastAsia="zh-CN" w:bidi="ar"/>
              </w:rPr>
              <w:t>≥1200×800</w:t>
            </w:r>
            <w:r>
              <w:rPr>
                <w:rStyle w:val="15"/>
                <w:highlight w:val="none"/>
                <w:lang w:val="en-US" w:eastAsia="zh-CN" w:bidi="ar"/>
              </w:rPr>
              <w:t>（内置非外接）。</w:t>
            </w:r>
          </w:p>
        </w:tc>
      </w:tr>
      <w:tr w14:paraId="5D7C6E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E0A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2F56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防水与消毒：</w:t>
            </w:r>
            <w:r>
              <w:rPr>
                <w:rFonts w:ascii="Segoe UI" w:hAnsi="Segoe UI" w:eastAsia="Segoe UI" w:cs="Segoe UI"/>
                <w:i w:val="0"/>
                <w:iCs w:val="0"/>
                <w:color w:val="404040"/>
                <w:kern w:val="0"/>
                <w:sz w:val="24"/>
                <w:szCs w:val="24"/>
                <w:highlight w:val="none"/>
                <w:u w:val="none"/>
                <w:lang w:val="en-US" w:eastAsia="zh-CN" w:bidi="ar"/>
              </w:rPr>
              <w:t>IPX2</w:t>
            </w:r>
            <w:r>
              <w:rPr>
                <w:rStyle w:val="15"/>
                <w:highlight w:val="none"/>
                <w:lang w:val="en-US" w:eastAsia="zh-CN" w:bidi="ar"/>
              </w:rPr>
              <w:t>级防水，支持</w:t>
            </w:r>
            <w:r>
              <w:rPr>
                <w:rFonts w:ascii="Segoe UI" w:hAnsi="Segoe UI" w:eastAsia="Segoe UI" w:cs="Segoe UI"/>
                <w:i w:val="0"/>
                <w:iCs w:val="0"/>
                <w:color w:val="404040"/>
                <w:kern w:val="0"/>
                <w:sz w:val="24"/>
                <w:szCs w:val="24"/>
                <w:highlight w:val="none"/>
                <w:u w:val="none"/>
                <w:lang w:val="en-US" w:eastAsia="zh-CN" w:bidi="ar"/>
              </w:rPr>
              <w:t>≥20</w:t>
            </w:r>
            <w:r>
              <w:rPr>
                <w:rStyle w:val="15"/>
                <w:highlight w:val="none"/>
                <w:lang w:val="en-US" w:eastAsia="zh-CN" w:bidi="ar"/>
              </w:rPr>
              <w:t>种消毒剂清洁（需说明书证明）。</w:t>
            </w:r>
          </w:p>
        </w:tc>
      </w:tr>
      <w:tr w14:paraId="6EEBF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7A2F1">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D946C1">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指示灯：</w:t>
            </w:r>
            <w:r>
              <w:rPr>
                <w:rFonts w:ascii="Segoe UI" w:hAnsi="Segoe UI" w:eastAsia="Segoe UI" w:cs="Segoe UI"/>
                <w:i w:val="0"/>
                <w:iCs w:val="0"/>
                <w:color w:val="404040"/>
                <w:kern w:val="0"/>
                <w:sz w:val="24"/>
                <w:szCs w:val="24"/>
                <w:highlight w:val="none"/>
                <w:u w:val="none"/>
                <w:lang w:val="en-US" w:eastAsia="zh-CN" w:bidi="ar"/>
              </w:rPr>
              <w:t>≥4</w:t>
            </w:r>
            <w:r>
              <w:rPr>
                <w:rStyle w:val="15"/>
                <w:highlight w:val="none"/>
                <w:lang w:val="en-US" w:eastAsia="zh-CN" w:bidi="ar"/>
              </w:rPr>
              <w:t>个独立</w:t>
            </w:r>
            <w:r>
              <w:rPr>
                <w:rFonts w:ascii="Segoe UI" w:hAnsi="Segoe UI" w:eastAsia="Segoe UI" w:cs="Segoe UI"/>
                <w:i w:val="0"/>
                <w:iCs w:val="0"/>
                <w:color w:val="404040"/>
                <w:kern w:val="0"/>
                <w:sz w:val="24"/>
                <w:szCs w:val="24"/>
                <w:highlight w:val="none"/>
                <w:u w:val="none"/>
                <w:lang w:val="en-US" w:eastAsia="zh-CN" w:bidi="ar"/>
              </w:rPr>
              <w:t>LED</w:t>
            </w:r>
            <w:r>
              <w:rPr>
                <w:rStyle w:val="15"/>
                <w:highlight w:val="none"/>
                <w:lang w:val="en-US" w:eastAsia="zh-CN" w:bidi="ar"/>
              </w:rPr>
              <w:t>（报警</w:t>
            </w:r>
            <w:r>
              <w:rPr>
                <w:rFonts w:ascii="Segoe UI" w:hAnsi="Segoe UI" w:eastAsia="Segoe UI" w:cs="Segoe UI"/>
                <w:i w:val="0"/>
                <w:iCs w:val="0"/>
                <w:color w:val="404040"/>
                <w:kern w:val="0"/>
                <w:sz w:val="24"/>
                <w:szCs w:val="24"/>
                <w:highlight w:val="none"/>
                <w:u w:val="none"/>
                <w:lang w:val="en-US" w:eastAsia="zh-CN" w:bidi="ar"/>
              </w:rPr>
              <w:t>3</w:t>
            </w:r>
            <w:r>
              <w:rPr>
                <w:rStyle w:val="15"/>
                <w:highlight w:val="none"/>
                <w:lang w:val="en-US" w:eastAsia="zh-CN" w:bidi="ar"/>
              </w:rPr>
              <w:t>色、电池</w:t>
            </w:r>
            <w:r>
              <w:rPr>
                <w:rFonts w:ascii="Segoe UI" w:hAnsi="Segoe UI" w:eastAsia="Segoe UI" w:cs="Segoe UI"/>
                <w:i w:val="0"/>
                <w:iCs w:val="0"/>
                <w:color w:val="404040"/>
                <w:kern w:val="0"/>
                <w:sz w:val="24"/>
                <w:szCs w:val="24"/>
                <w:highlight w:val="none"/>
                <w:u w:val="none"/>
                <w:lang w:val="en-US" w:eastAsia="zh-CN" w:bidi="ar"/>
              </w:rPr>
              <w:t>2</w:t>
            </w:r>
            <w:r>
              <w:rPr>
                <w:rStyle w:val="15"/>
                <w:highlight w:val="none"/>
                <w:lang w:val="en-US" w:eastAsia="zh-CN" w:bidi="ar"/>
              </w:rPr>
              <w:t>色，非屏幕集成，需说明书证明）。</w:t>
            </w:r>
          </w:p>
        </w:tc>
      </w:tr>
      <w:tr w14:paraId="0C41C4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18EB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4DCCA">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无创血压</w:t>
            </w:r>
            <w:r>
              <w:rPr>
                <w:rStyle w:val="15"/>
                <w:highlight w:val="none"/>
                <w:lang w:val="en-US" w:eastAsia="zh-CN" w:bidi="ar"/>
              </w:rPr>
              <w:t>：</w:t>
            </w:r>
            <w:r>
              <w:rPr>
                <w:rFonts w:ascii="Segoe UI" w:hAnsi="Segoe UI" w:eastAsia="Segoe UI" w:cs="Segoe UI"/>
                <w:i w:val="0"/>
                <w:iCs w:val="0"/>
                <w:color w:val="404040"/>
                <w:kern w:val="0"/>
                <w:sz w:val="24"/>
                <w:szCs w:val="24"/>
                <w:highlight w:val="none"/>
                <w:u w:val="none"/>
                <w:lang w:val="en-US" w:eastAsia="zh-CN" w:bidi="ar"/>
              </w:rPr>
              <w:t>15</w:t>
            </w:r>
            <w:r>
              <w:rPr>
                <w:rStyle w:val="15"/>
                <w:highlight w:val="none"/>
                <w:lang w:val="en-US" w:eastAsia="zh-CN" w:bidi="ar"/>
              </w:rPr>
              <w:t>秒快速测量，支持平均值及直立性血压；</w:t>
            </w:r>
            <w:r>
              <w:rPr>
                <w:rFonts w:ascii="Segoe UI" w:hAnsi="Segoe UI" w:eastAsia="Segoe UI" w:cs="Segoe UI"/>
                <w:i w:val="0"/>
                <w:iCs w:val="0"/>
                <w:color w:val="404040"/>
                <w:kern w:val="0"/>
                <w:sz w:val="24"/>
                <w:szCs w:val="24"/>
                <w:highlight w:val="none"/>
                <w:u w:val="none"/>
                <w:lang w:val="en-US" w:eastAsia="zh-CN" w:bidi="ar"/>
              </w:rPr>
              <w:t>≥6</w:t>
            </w:r>
            <w:r>
              <w:rPr>
                <w:rStyle w:val="15"/>
                <w:highlight w:val="none"/>
                <w:lang w:val="en-US" w:eastAsia="zh-CN" w:bidi="ar"/>
              </w:rPr>
              <w:t>种测量模式（手动</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自动</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连续</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序列</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整点</w:t>
            </w:r>
            <w:r>
              <w:rPr>
                <w:rFonts w:ascii="Segoe UI" w:hAnsi="Segoe UI" w:eastAsia="Segoe UI" w:cs="Segoe UI"/>
                <w:i w:val="0"/>
                <w:iCs w:val="0"/>
                <w:color w:val="404040"/>
                <w:kern w:val="0"/>
                <w:sz w:val="24"/>
                <w:szCs w:val="24"/>
                <w:highlight w:val="none"/>
                <w:u w:val="none"/>
                <w:lang w:val="en-US" w:eastAsia="zh-CN" w:bidi="ar"/>
              </w:rPr>
              <w:t>/</w:t>
            </w:r>
            <w:r>
              <w:rPr>
                <w:rStyle w:val="15"/>
                <w:highlight w:val="none"/>
                <w:lang w:val="en-US" w:eastAsia="zh-CN" w:bidi="ar"/>
              </w:rPr>
              <w:t>平均）。</w:t>
            </w:r>
          </w:p>
        </w:tc>
      </w:tr>
      <w:tr w14:paraId="1954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B153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6</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E6F2E">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血氧</w:t>
            </w:r>
            <w:r>
              <w:rPr>
                <w:rStyle w:val="15"/>
                <w:highlight w:val="none"/>
                <w:lang w:val="en-US" w:eastAsia="zh-CN" w:bidi="ar"/>
              </w:rPr>
              <w:t>：双配置，</w:t>
            </w:r>
            <w:r>
              <w:rPr>
                <w:rFonts w:ascii="Segoe UI" w:hAnsi="Segoe UI" w:eastAsia="Segoe UI" w:cs="Segoe UI"/>
                <w:i w:val="0"/>
                <w:iCs w:val="0"/>
                <w:color w:val="404040"/>
                <w:kern w:val="0"/>
                <w:sz w:val="24"/>
                <w:szCs w:val="24"/>
                <w:highlight w:val="none"/>
                <w:u w:val="none"/>
                <w:lang w:val="en-US" w:eastAsia="zh-CN" w:bidi="ar"/>
              </w:rPr>
              <w:t>PI</w:t>
            </w:r>
            <w:r>
              <w:rPr>
                <w:rStyle w:val="15"/>
                <w:highlight w:val="none"/>
                <w:lang w:val="en-US" w:eastAsia="zh-CN" w:bidi="ar"/>
              </w:rPr>
              <w:t>血流灌注指数，分辨率</w:t>
            </w:r>
            <w:r>
              <w:rPr>
                <w:rFonts w:ascii="Segoe UI" w:hAnsi="Segoe UI" w:eastAsia="Segoe UI" w:cs="Segoe UI"/>
                <w:i w:val="0"/>
                <w:iCs w:val="0"/>
                <w:color w:val="404040"/>
                <w:kern w:val="0"/>
                <w:sz w:val="24"/>
                <w:szCs w:val="24"/>
                <w:highlight w:val="none"/>
                <w:u w:val="none"/>
                <w:lang w:val="en-US" w:eastAsia="zh-CN" w:bidi="ar"/>
              </w:rPr>
              <w:t>≤1%</w:t>
            </w:r>
            <w:r>
              <w:rPr>
                <w:rStyle w:val="15"/>
                <w:highlight w:val="none"/>
                <w:lang w:val="en-US" w:eastAsia="zh-CN" w:bidi="ar"/>
              </w:rPr>
              <w:t>。</w:t>
            </w:r>
          </w:p>
        </w:tc>
      </w:tr>
      <w:tr w14:paraId="1824A3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08F7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7</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F37B4">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扩展监测：支持</w:t>
            </w:r>
            <w:r>
              <w:rPr>
                <w:rFonts w:ascii="Segoe UI" w:hAnsi="Segoe UI" w:eastAsia="Segoe UI" w:cs="Segoe UI"/>
                <w:i w:val="0"/>
                <w:iCs w:val="0"/>
                <w:color w:val="404040"/>
                <w:kern w:val="0"/>
                <w:sz w:val="24"/>
                <w:szCs w:val="24"/>
                <w:highlight w:val="none"/>
                <w:u w:val="none"/>
                <w:lang w:val="en-US" w:eastAsia="zh-CN" w:bidi="ar"/>
              </w:rPr>
              <w:t>CO2</w:t>
            </w:r>
            <w:r>
              <w:rPr>
                <w:rStyle w:val="15"/>
                <w:highlight w:val="none"/>
                <w:lang w:val="en-US" w:eastAsia="zh-CN" w:bidi="ar"/>
              </w:rPr>
              <w:t>监测升级，体温、血氧、血压为</w:t>
            </w:r>
            <w:r>
              <w:rPr>
                <w:rFonts w:ascii="Segoe UI" w:hAnsi="Segoe UI" w:eastAsia="Segoe UI" w:cs="Segoe UI"/>
                <w:i w:val="0"/>
                <w:iCs w:val="0"/>
                <w:color w:val="404040"/>
                <w:kern w:val="0"/>
                <w:sz w:val="24"/>
                <w:szCs w:val="24"/>
                <w:highlight w:val="none"/>
                <w:u w:val="none"/>
                <w:lang w:val="en-US" w:eastAsia="zh-CN" w:bidi="ar"/>
              </w:rPr>
              <w:t>CF</w:t>
            </w:r>
            <w:r>
              <w:rPr>
                <w:rStyle w:val="15"/>
                <w:highlight w:val="none"/>
                <w:lang w:val="en-US" w:eastAsia="zh-CN" w:bidi="ar"/>
              </w:rPr>
              <w:t>型。</w:t>
            </w:r>
          </w:p>
        </w:tc>
      </w:tr>
      <w:tr w14:paraId="2417CA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6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B103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8</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00EB7">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支持</w:t>
            </w:r>
            <w:r>
              <w:rPr>
                <w:rFonts w:ascii="Segoe UI" w:hAnsi="Segoe UI" w:eastAsia="Segoe UI" w:cs="Segoe UI"/>
                <w:i w:val="0"/>
                <w:iCs w:val="0"/>
                <w:color w:val="404040"/>
                <w:kern w:val="0"/>
                <w:sz w:val="24"/>
                <w:szCs w:val="24"/>
                <w:highlight w:val="none"/>
                <w:u w:val="none"/>
                <w:lang w:val="en-US" w:eastAsia="zh-CN" w:bidi="ar"/>
              </w:rPr>
              <w:t>HL7</w:t>
            </w:r>
            <w:r>
              <w:rPr>
                <w:rStyle w:val="15"/>
                <w:highlight w:val="none"/>
                <w:lang w:val="en-US" w:eastAsia="zh-CN" w:bidi="ar"/>
              </w:rPr>
              <w:t>格式发送生命体征至指定</w:t>
            </w:r>
            <w:r>
              <w:rPr>
                <w:rFonts w:ascii="Segoe UI" w:hAnsi="Segoe UI" w:eastAsia="Segoe UI" w:cs="Segoe UI"/>
                <w:i w:val="0"/>
                <w:iCs w:val="0"/>
                <w:color w:val="404040"/>
                <w:kern w:val="0"/>
                <w:sz w:val="24"/>
                <w:szCs w:val="24"/>
                <w:highlight w:val="none"/>
                <w:u w:val="none"/>
                <w:lang w:val="en-US" w:eastAsia="zh-CN" w:bidi="ar"/>
              </w:rPr>
              <w:t>IP</w:t>
            </w:r>
            <w:r>
              <w:rPr>
                <w:rStyle w:val="15"/>
                <w:highlight w:val="none"/>
                <w:lang w:val="en-US" w:eastAsia="zh-CN" w:bidi="ar"/>
              </w:rPr>
              <w:t>（需兼容</w:t>
            </w:r>
            <w:r>
              <w:rPr>
                <w:rFonts w:ascii="Segoe UI" w:hAnsi="Segoe UI" w:eastAsia="Segoe UI" w:cs="Segoe UI"/>
                <w:i w:val="0"/>
                <w:iCs w:val="0"/>
                <w:color w:val="404040"/>
                <w:kern w:val="0"/>
                <w:sz w:val="24"/>
                <w:szCs w:val="24"/>
                <w:highlight w:val="none"/>
                <w:u w:val="none"/>
                <w:lang w:val="en-US" w:eastAsia="zh-CN" w:bidi="ar"/>
              </w:rPr>
              <w:t>500+</w:t>
            </w:r>
            <w:r>
              <w:rPr>
                <w:rStyle w:val="15"/>
                <w:highlight w:val="none"/>
                <w:lang w:val="en-US" w:eastAsia="zh-CN" w:bidi="ar"/>
              </w:rPr>
              <w:t>设备接入，接口费用由中标方承担）。</w:t>
            </w:r>
          </w:p>
        </w:tc>
      </w:tr>
      <w:tr w14:paraId="42A4C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F72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9</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843085">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自动化写入护理系统，支持中央监护系统远程修改患者信息及时间同步。</w:t>
            </w:r>
          </w:p>
        </w:tc>
      </w:tr>
      <w:tr w14:paraId="2BCCCB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1981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10</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5158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加密与端口：</w:t>
            </w:r>
            <w:r>
              <w:rPr>
                <w:rFonts w:ascii="Segoe UI" w:hAnsi="Segoe UI" w:eastAsia="Segoe UI" w:cs="Segoe UI"/>
                <w:i w:val="0"/>
                <w:iCs w:val="0"/>
                <w:color w:val="404040"/>
                <w:kern w:val="0"/>
                <w:sz w:val="24"/>
                <w:szCs w:val="24"/>
                <w:highlight w:val="none"/>
                <w:u w:val="none"/>
                <w:lang w:val="en-US" w:eastAsia="zh-CN" w:bidi="ar"/>
              </w:rPr>
              <w:t>WIFI</w:t>
            </w:r>
            <w:r>
              <w:rPr>
                <w:rStyle w:val="15"/>
                <w:highlight w:val="none"/>
                <w:lang w:val="en-US" w:eastAsia="zh-CN" w:bidi="ar"/>
              </w:rPr>
              <w:t>支持</w:t>
            </w:r>
            <w:r>
              <w:rPr>
                <w:rFonts w:ascii="Segoe UI" w:hAnsi="Segoe UI" w:eastAsia="Segoe UI" w:cs="Segoe UI"/>
                <w:i w:val="0"/>
                <w:iCs w:val="0"/>
                <w:color w:val="404040"/>
                <w:kern w:val="0"/>
                <w:sz w:val="24"/>
                <w:szCs w:val="24"/>
                <w:highlight w:val="none"/>
                <w:u w:val="none"/>
                <w:lang w:val="en-US" w:eastAsia="zh-CN" w:bidi="ar"/>
              </w:rPr>
              <w:t>TKIP/AES</w:t>
            </w:r>
            <w:r>
              <w:rPr>
                <w:rStyle w:val="15"/>
                <w:highlight w:val="none"/>
                <w:lang w:val="en-US" w:eastAsia="zh-CN" w:bidi="ar"/>
              </w:rPr>
              <w:t>加密</w:t>
            </w:r>
          </w:p>
        </w:tc>
      </w:tr>
      <w:tr w14:paraId="2007A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0A29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11</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E7F7A">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电池与便携性：</w:t>
            </w:r>
            <w:r>
              <w:rPr>
                <w:rFonts w:ascii="Segoe UI" w:hAnsi="Segoe UI" w:eastAsia="Segoe UI" w:cs="Segoe UI"/>
                <w:i w:val="0"/>
                <w:iCs w:val="0"/>
                <w:color w:val="404040"/>
                <w:kern w:val="0"/>
                <w:sz w:val="24"/>
                <w:szCs w:val="24"/>
                <w:highlight w:val="none"/>
                <w:u w:val="none"/>
                <w:lang w:val="en-US" w:eastAsia="zh-CN" w:bidi="ar"/>
              </w:rPr>
              <w:t>≥8</w:t>
            </w:r>
            <w:r>
              <w:rPr>
                <w:rStyle w:val="15"/>
                <w:highlight w:val="none"/>
                <w:lang w:val="en-US" w:eastAsia="zh-CN" w:bidi="ar"/>
              </w:rPr>
              <w:t>小时续航，</w:t>
            </w:r>
            <w:r>
              <w:rPr>
                <w:rFonts w:ascii="Segoe UI" w:hAnsi="Segoe UI" w:eastAsia="Segoe UI" w:cs="Segoe UI"/>
                <w:i w:val="0"/>
                <w:iCs w:val="0"/>
                <w:color w:val="404040"/>
                <w:kern w:val="0"/>
                <w:sz w:val="24"/>
                <w:szCs w:val="24"/>
                <w:highlight w:val="none"/>
                <w:u w:val="none"/>
                <w:lang w:val="en-US" w:eastAsia="zh-CN" w:bidi="ar"/>
              </w:rPr>
              <w:t>≤2.5kg</w:t>
            </w:r>
            <w:r>
              <w:rPr>
                <w:rStyle w:val="15"/>
                <w:highlight w:val="none"/>
                <w:lang w:val="en-US" w:eastAsia="zh-CN" w:bidi="ar"/>
              </w:rPr>
              <w:t>主机，配备推车；关机延迟</w:t>
            </w:r>
            <w:r>
              <w:rPr>
                <w:rFonts w:ascii="Segoe UI" w:hAnsi="Segoe UI" w:eastAsia="Segoe UI" w:cs="Segoe UI"/>
                <w:i w:val="0"/>
                <w:iCs w:val="0"/>
                <w:color w:val="404040"/>
                <w:kern w:val="0"/>
                <w:sz w:val="24"/>
                <w:szCs w:val="24"/>
                <w:highlight w:val="none"/>
                <w:u w:val="none"/>
                <w:lang w:val="en-US" w:eastAsia="zh-CN" w:bidi="ar"/>
              </w:rPr>
              <w:t>≥20</w:t>
            </w:r>
            <w:r>
              <w:rPr>
                <w:rStyle w:val="15"/>
                <w:highlight w:val="none"/>
                <w:lang w:val="en-US" w:eastAsia="zh-CN" w:bidi="ar"/>
              </w:rPr>
              <w:t>分钟。</w:t>
            </w:r>
          </w:p>
        </w:tc>
      </w:tr>
      <w:tr w14:paraId="41799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9BC0E">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12</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37B8">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评分工具：内置</w:t>
            </w:r>
            <w:r>
              <w:rPr>
                <w:rFonts w:ascii="Segoe UI" w:hAnsi="Segoe UI" w:eastAsia="Segoe UI" w:cs="Segoe UI"/>
                <w:i w:val="0"/>
                <w:iCs w:val="0"/>
                <w:color w:val="404040"/>
                <w:kern w:val="0"/>
                <w:sz w:val="24"/>
                <w:szCs w:val="24"/>
                <w:highlight w:val="none"/>
                <w:u w:val="none"/>
                <w:lang w:val="en-US" w:eastAsia="zh-CN" w:bidi="ar"/>
              </w:rPr>
              <w:t>EWS</w:t>
            </w:r>
            <w:r>
              <w:rPr>
                <w:rStyle w:val="15"/>
                <w:highlight w:val="none"/>
                <w:lang w:val="en-US" w:eastAsia="zh-CN" w:bidi="ar"/>
              </w:rPr>
              <w:t>早期预警、图形化疼痛评分模板，支持自定义评分。</w:t>
            </w:r>
          </w:p>
        </w:tc>
      </w:tr>
      <w:tr w14:paraId="7AA28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87C2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13</w:t>
            </w:r>
          </w:p>
        </w:tc>
        <w:tc>
          <w:tcPr>
            <w:tcW w:w="691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75DF9">
            <w:pPr>
              <w:keepNext w:val="0"/>
              <w:keepLines w:val="0"/>
              <w:widowControl/>
              <w:suppressLineNumbers w:val="0"/>
              <w:jc w:val="center"/>
              <w:textAlignment w:val="center"/>
              <w:rPr>
                <w:rFonts w:hint="eastAsia" w:ascii="宋体" w:hAnsi="宋体" w:eastAsia="宋体" w:cs="宋体"/>
                <w:i w:val="0"/>
                <w:iCs w:val="0"/>
                <w:color w:val="404040"/>
                <w:sz w:val="24"/>
                <w:szCs w:val="24"/>
                <w:highlight w:val="none"/>
                <w:u w:val="none"/>
              </w:rPr>
            </w:pPr>
            <w:r>
              <w:rPr>
                <w:rFonts w:hint="eastAsia" w:ascii="宋体" w:hAnsi="宋体" w:eastAsia="宋体" w:cs="宋体"/>
                <w:i w:val="0"/>
                <w:iCs w:val="0"/>
                <w:color w:val="404040"/>
                <w:kern w:val="0"/>
                <w:sz w:val="24"/>
                <w:szCs w:val="24"/>
                <w:highlight w:val="none"/>
                <w:u w:val="none"/>
                <w:lang w:val="en-US" w:eastAsia="zh-CN" w:bidi="ar"/>
              </w:rPr>
              <w:t>新生儿筛查：可选</w:t>
            </w:r>
            <w:r>
              <w:rPr>
                <w:rFonts w:ascii="Segoe UI" w:hAnsi="Segoe UI" w:eastAsia="Segoe UI" w:cs="Segoe UI"/>
                <w:i w:val="0"/>
                <w:iCs w:val="0"/>
                <w:color w:val="404040"/>
                <w:kern w:val="0"/>
                <w:sz w:val="24"/>
                <w:szCs w:val="24"/>
                <w:highlight w:val="none"/>
                <w:u w:val="none"/>
                <w:lang w:val="en-US" w:eastAsia="zh-CN" w:bidi="ar"/>
              </w:rPr>
              <w:t>CCHD</w:t>
            </w:r>
            <w:r>
              <w:rPr>
                <w:rStyle w:val="15"/>
                <w:highlight w:val="none"/>
                <w:lang w:val="en-US" w:eastAsia="zh-CN" w:bidi="ar"/>
              </w:rPr>
              <w:t>工具，用于先天性心脏病筛查。</w:t>
            </w:r>
          </w:p>
        </w:tc>
      </w:tr>
    </w:tbl>
    <w:p w14:paraId="13AB0906">
      <w:pPr>
        <w:numPr>
          <w:ilvl w:val="0"/>
          <w:numId w:val="0"/>
        </w:numPr>
        <w:ind w:leftChars="0"/>
        <w:jc w:val="left"/>
        <w:rPr>
          <w:rFonts w:hint="eastAsia" w:ascii="仿宋_GB2312" w:hAnsi="仿宋_GB2312" w:eastAsia="仿宋_GB2312" w:cs="仿宋_GB2312"/>
          <w:sz w:val="28"/>
          <w:szCs w:val="28"/>
          <w:highlight w:val="none"/>
        </w:rPr>
      </w:pPr>
    </w:p>
    <w:p w14:paraId="63AF4577">
      <w:pPr>
        <w:numPr>
          <w:ilvl w:val="0"/>
          <w:numId w:val="0"/>
        </w:numPr>
        <w:ind w:leftChars="0"/>
        <w:jc w:val="left"/>
        <w:rPr>
          <w:rFonts w:hint="eastAsia" w:ascii="仿宋_GB2312" w:hAnsi="仿宋_GB2312" w:eastAsia="仿宋_GB2312" w:cs="仿宋_GB2312"/>
          <w:sz w:val="28"/>
          <w:szCs w:val="28"/>
          <w:highlight w:val="none"/>
        </w:rPr>
      </w:pPr>
    </w:p>
    <w:p w14:paraId="028B3791">
      <w:pPr>
        <w:numPr>
          <w:ilvl w:val="0"/>
          <w:numId w:val="0"/>
        </w:numPr>
        <w:ind w:left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配置清单</w:t>
      </w:r>
    </w:p>
    <w:tbl>
      <w:tblPr>
        <w:tblStyle w:val="6"/>
        <w:tblW w:w="490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80"/>
        <w:gridCol w:w="1665"/>
        <w:gridCol w:w="1080"/>
        <w:gridCol w:w="1081"/>
      </w:tblGrid>
      <w:tr w14:paraId="03B0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855255">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序号</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67B0B">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货物名称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9AAA81">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数量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90F8D7">
            <w:pPr>
              <w:keepNext w:val="0"/>
              <w:keepLines w:val="0"/>
              <w:widowControl/>
              <w:suppressLineNumbers w:val="0"/>
              <w:jc w:val="center"/>
              <w:textAlignment w:val="center"/>
              <w:rPr>
                <w:rFonts w:hint="eastAsia" w:ascii="宋体" w:hAnsi="宋体" w:eastAsia="宋体" w:cs="宋体"/>
                <w:i w:val="0"/>
                <w:iCs w:val="0"/>
                <w:color w:val="404040"/>
                <w:sz w:val="22"/>
                <w:szCs w:val="22"/>
                <w:highlight w:val="none"/>
                <w:u w:val="none"/>
              </w:rPr>
            </w:pPr>
            <w:r>
              <w:rPr>
                <w:rFonts w:hint="eastAsia" w:ascii="宋体" w:hAnsi="宋体" w:eastAsia="宋体" w:cs="宋体"/>
                <w:i w:val="0"/>
                <w:iCs w:val="0"/>
                <w:color w:val="404040"/>
                <w:kern w:val="0"/>
                <w:sz w:val="22"/>
                <w:szCs w:val="22"/>
                <w:highlight w:val="none"/>
                <w:u w:val="none"/>
                <w:lang w:val="en-US" w:eastAsia="zh-CN" w:bidi="ar"/>
              </w:rPr>
              <w:t>单位</w:t>
            </w:r>
          </w:p>
        </w:tc>
      </w:tr>
      <w:tr w14:paraId="35B3E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85EC0">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0EEE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主机</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996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F80D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台</w:t>
            </w:r>
          </w:p>
        </w:tc>
      </w:tr>
      <w:tr w14:paraId="65FE62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561B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2</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C0E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扫码枪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924915">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F3D6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个</w:t>
            </w:r>
          </w:p>
        </w:tc>
      </w:tr>
      <w:tr w14:paraId="16E1F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9724">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3</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6DBE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彩色触摸屏</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F9C23">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5646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r>
      <w:tr w14:paraId="154A9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4F66B">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4</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A080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锂电池</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63A0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B579E8">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块</w:t>
            </w:r>
          </w:p>
        </w:tc>
      </w:tr>
      <w:tr w14:paraId="04832D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4839C">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5</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B2217">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便携推车</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2931A">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7F93D">
            <w:pPr>
              <w:keepNext w:val="0"/>
              <w:keepLines w:val="0"/>
              <w:widowControl/>
              <w:suppressLineNumbers w:val="0"/>
              <w:jc w:val="center"/>
              <w:textAlignment w:val="center"/>
              <w:rPr>
                <w:rFonts w:hint="eastAsia" w:ascii="宋体" w:hAnsi="宋体" w:eastAsia="宋体" w:cs="宋体"/>
                <w:i w:val="0"/>
                <w:iCs w:val="0"/>
                <w:color w:val="000000"/>
                <w:sz w:val="22"/>
                <w:szCs w:val="22"/>
                <w:highlight w:val="none"/>
                <w:u w:val="none"/>
              </w:rPr>
            </w:pPr>
            <w:r>
              <w:rPr>
                <w:rFonts w:hint="eastAsia" w:ascii="宋体" w:hAnsi="宋体" w:eastAsia="宋体" w:cs="宋体"/>
                <w:i w:val="0"/>
                <w:iCs w:val="0"/>
                <w:color w:val="000000"/>
                <w:kern w:val="0"/>
                <w:sz w:val="22"/>
                <w:szCs w:val="22"/>
                <w:highlight w:val="none"/>
                <w:u w:val="none"/>
                <w:lang w:val="en-US" w:eastAsia="zh-CN" w:bidi="ar"/>
              </w:rPr>
              <w:t>套</w:t>
            </w:r>
          </w:p>
        </w:tc>
      </w:tr>
      <w:tr w14:paraId="3C136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F4652">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6</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5B1C93">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耳温枪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128DD">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7165B">
            <w:pPr>
              <w:keepNext w:val="0"/>
              <w:keepLines w:val="0"/>
              <w:widowControl/>
              <w:suppressLineNumbers w:val="0"/>
              <w:jc w:val="center"/>
              <w:textAlignment w:val="center"/>
              <w:rPr>
                <w:rFonts w:hint="default" w:ascii="宋体" w:hAnsi="宋体" w:eastAsia="宋体" w:cs="宋体"/>
                <w:i w:val="0"/>
                <w:iCs w:val="0"/>
                <w:color w:val="000000"/>
                <w:kern w:val="0"/>
                <w:sz w:val="22"/>
                <w:szCs w:val="22"/>
                <w:highlight w:val="none"/>
                <w:u w:val="none"/>
                <w:lang w:val="en-US" w:eastAsia="zh-CN" w:bidi="ar"/>
              </w:rPr>
            </w:pPr>
            <w:r>
              <w:rPr>
                <w:rFonts w:hint="eastAsia" w:ascii="宋体" w:hAnsi="宋体" w:eastAsia="宋体" w:cs="宋体"/>
                <w:i w:val="0"/>
                <w:iCs w:val="0"/>
                <w:color w:val="000000"/>
                <w:kern w:val="0"/>
                <w:sz w:val="22"/>
                <w:szCs w:val="22"/>
                <w:highlight w:val="none"/>
                <w:u w:val="none"/>
                <w:lang w:val="en-US" w:eastAsia="zh-CN" w:bidi="ar"/>
              </w:rPr>
              <w:t>个</w:t>
            </w:r>
          </w:p>
        </w:tc>
      </w:tr>
    </w:tbl>
    <w:p w14:paraId="56A819A9">
      <w:pPr>
        <w:numPr>
          <w:ilvl w:val="0"/>
          <w:numId w:val="0"/>
        </w:numPr>
        <w:jc w:val="left"/>
        <w:rPr>
          <w:rFonts w:hint="eastAsia" w:ascii="仿宋_GB2312" w:hAnsi="仿宋_GB2312" w:eastAsia="仿宋_GB2312" w:cs="仿宋_GB2312"/>
          <w:sz w:val="28"/>
          <w:szCs w:val="28"/>
          <w:highlight w:val="none"/>
          <w:lang w:val="en-US" w:eastAsia="zh-CN"/>
        </w:rPr>
      </w:pPr>
    </w:p>
    <w:p w14:paraId="21230C9A">
      <w:pPr>
        <w:numPr>
          <w:ilvl w:val="0"/>
          <w:numId w:val="8"/>
        </w:numPr>
        <w:ind w:left="425" w:leftChars="0" w:hanging="425" w:firstLineChars="0"/>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商务要求：</w:t>
      </w:r>
    </w:p>
    <w:tbl>
      <w:tblPr>
        <w:tblStyle w:val="6"/>
        <w:tblW w:w="8951" w:type="dxa"/>
        <w:jc w:val="center"/>
        <w:tblLayout w:type="autofit"/>
        <w:tblCellMar>
          <w:top w:w="0" w:type="dxa"/>
          <w:left w:w="108" w:type="dxa"/>
          <w:bottom w:w="0" w:type="dxa"/>
          <w:right w:w="108" w:type="dxa"/>
        </w:tblCellMar>
      </w:tblPr>
      <w:tblGrid>
        <w:gridCol w:w="525"/>
        <w:gridCol w:w="735"/>
        <w:gridCol w:w="1020"/>
        <w:gridCol w:w="6671"/>
      </w:tblGrid>
      <w:tr w14:paraId="74E6B5B0">
        <w:tblPrEx>
          <w:tblCellMar>
            <w:top w:w="0" w:type="dxa"/>
            <w:left w:w="108" w:type="dxa"/>
            <w:bottom w:w="0" w:type="dxa"/>
            <w:right w:w="108" w:type="dxa"/>
          </w:tblCellMar>
        </w:tblPrEx>
        <w:trPr>
          <w:trHeight w:val="78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881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序号</w:t>
            </w:r>
          </w:p>
        </w:tc>
        <w:tc>
          <w:tcPr>
            <w:tcW w:w="175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9C057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商务需求项</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565F9F">
            <w:pPr>
              <w:widowControl/>
              <w:jc w:val="center"/>
              <w:textAlignment w:val="center"/>
              <w:rPr>
                <w:rFonts w:ascii="仿宋_GB2312" w:hAnsi="宋体" w:eastAsia="仿宋_GB2312" w:cs="仿宋_GB2312"/>
                <w:b/>
                <w:bCs/>
                <w:color w:val="000000"/>
                <w:sz w:val="28"/>
                <w:szCs w:val="28"/>
                <w:highlight w:val="none"/>
              </w:rPr>
            </w:pPr>
            <w:r>
              <w:rPr>
                <w:rFonts w:hint="eastAsia" w:ascii="微软雅黑" w:hAnsi="微软雅黑" w:eastAsia="微软雅黑" w:cs="微软雅黑"/>
                <w:color w:val="000000"/>
                <w:kern w:val="0"/>
                <w:sz w:val="28"/>
                <w:szCs w:val="28"/>
                <w:highlight w:val="none"/>
                <w:lang w:eastAsia="zh-CN" w:bidi="ar"/>
              </w:rPr>
              <w:t>★</w:t>
            </w:r>
            <w:r>
              <w:rPr>
                <w:rFonts w:hint="eastAsia" w:ascii="仿宋_GB2312" w:hAnsi="宋体" w:eastAsia="仿宋_GB2312" w:cs="仿宋_GB2312"/>
                <w:b/>
                <w:bCs/>
                <w:color w:val="000000"/>
                <w:kern w:val="0"/>
                <w:sz w:val="28"/>
                <w:szCs w:val="28"/>
                <w:highlight w:val="none"/>
                <w:lang w:bidi="ar"/>
              </w:rPr>
              <w:t>商务要求</w:t>
            </w:r>
          </w:p>
        </w:tc>
      </w:tr>
      <w:tr w14:paraId="22B3F8CC">
        <w:tblPrEx>
          <w:tblCellMar>
            <w:top w:w="0" w:type="dxa"/>
            <w:left w:w="108" w:type="dxa"/>
            <w:bottom w:w="0" w:type="dxa"/>
            <w:right w:w="108" w:type="dxa"/>
          </w:tblCellMar>
        </w:tblPrEx>
        <w:trPr>
          <w:trHeight w:val="780" w:hRule="atLeast"/>
          <w:jc w:val="center"/>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B1F87B9">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（一）免费保修期内售后服务要求</w:t>
            </w:r>
          </w:p>
        </w:tc>
      </w:tr>
      <w:tr w14:paraId="51105293">
        <w:tblPrEx>
          <w:tblCellMar>
            <w:top w:w="0" w:type="dxa"/>
            <w:left w:w="108" w:type="dxa"/>
            <w:bottom w:w="0" w:type="dxa"/>
            <w:right w:w="108" w:type="dxa"/>
          </w:tblCellMar>
        </w:tblPrEx>
        <w:trPr>
          <w:trHeight w:val="750"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CA029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332B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免费保修期</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F06DA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8FE2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设备原厂（含附件）免费保修期为</w:t>
            </w:r>
            <w:r>
              <w:rPr>
                <w:rStyle w:val="13"/>
                <w:rFonts w:hint="eastAsia" w:hAnsi="宋体" w:eastAsia="仿宋_GB2312"/>
                <w:highlight w:val="none"/>
                <w:lang w:val="en-US" w:eastAsia="zh-CN" w:bidi="ar"/>
              </w:rPr>
              <w:t>5</w:t>
            </w:r>
            <w:r>
              <w:rPr>
                <w:rStyle w:val="14"/>
                <w:rFonts w:hint="default" w:hAnsi="宋体"/>
                <w:highlight w:val="none"/>
                <w:lang w:bidi="ar"/>
              </w:rPr>
              <w:t>年，自验收报告签字之日开始计算。</w:t>
            </w:r>
          </w:p>
        </w:tc>
      </w:tr>
      <w:tr w14:paraId="7072B8BA">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5235C9">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F99AA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7E3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BA43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因质量问题造成设备全部或部分停止使用的时间，保修期予以相应的延长。在保修期内乙方将免费维修和更换属质量原因造成的零部件损坏，保修期外零部件的损坏，提供的配件只收配件成本费。保修期满后，乙方还必须提供设备的终身维护。</w:t>
            </w:r>
          </w:p>
        </w:tc>
      </w:tr>
      <w:tr w14:paraId="6822E24E">
        <w:tblPrEx>
          <w:tblCellMar>
            <w:top w:w="0" w:type="dxa"/>
            <w:left w:w="108" w:type="dxa"/>
            <w:bottom w:w="0" w:type="dxa"/>
            <w:right w:w="108" w:type="dxa"/>
          </w:tblCellMar>
        </w:tblPrEx>
        <w:trPr>
          <w:trHeight w:val="782"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3B601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E0F92E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EC80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CAE7F">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生产厂家提供售后服务，生产厂家有固定、专业的售后服务机构，有受过专业培训的售后服务人员对采购人单位使用人员进行设备的基本结构、性能，日常的使用保养方法，紧急情况处理等相关内容的培训，并对采购人维修工程师进行工作原理，操作使用、维修维护、常见故障排除方法培训，使其熟悉设备的运行环境，并对设备的性能有详细的了解和熟练掌握设备的使用方法，不定期到采购单位巡检、每半年按采购人要求无条件提供预防性维护检测报告，以及每年按采购人要求无条件进行仪器校准，并出具校准报告（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及时发现和处理问题，确保设备正常和安全使用并得到良好的维护保养，并且提供售后服务机构地址、负责人名单、工程师名单、联系电话。在保修期内，机器若发生故障，维修人员须在4小时内响应，24小时内维修到位，对到达现场后24个工作小时内不能解决的故障，投标人须提供样机应急，所更换的零配件须为通过原厂认证的合格零配件。</w:t>
            </w:r>
          </w:p>
        </w:tc>
      </w:tr>
      <w:tr w14:paraId="5985F53A">
        <w:tblPrEx>
          <w:tblCellMar>
            <w:top w:w="0" w:type="dxa"/>
            <w:left w:w="108" w:type="dxa"/>
            <w:bottom w:w="0" w:type="dxa"/>
            <w:right w:w="108" w:type="dxa"/>
          </w:tblCellMar>
        </w:tblPrEx>
        <w:trPr>
          <w:trHeight w:val="750"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23D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1C68E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165C4">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0308E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投标人应按其投标文件中的承诺，进行其他售后服务工作。</w:t>
            </w:r>
          </w:p>
        </w:tc>
      </w:tr>
      <w:tr w14:paraId="7BE287CC">
        <w:tblPrEx>
          <w:tblCellMar>
            <w:top w:w="0" w:type="dxa"/>
            <w:left w:w="108" w:type="dxa"/>
            <w:bottom w:w="0" w:type="dxa"/>
            <w:right w:w="108" w:type="dxa"/>
          </w:tblCellMar>
        </w:tblPrEx>
        <w:trPr>
          <w:trHeight w:val="375" w:hRule="atLeast"/>
          <w:jc w:val="center"/>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3CCD59B">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（二）免费保修期外售后服务要求</w:t>
            </w:r>
          </w:p>
        </w:tc>
      </w:tr>
      <w:tr w14:paraId="72AA3265">
        <w:tblPrEx>
          <w:tblCellMar>
            <w:top w:w="0" w:type="dxa"/>
            <w:left w:w="108" w:type="dxa"/>
            <w:bottom w:w="0" w:type="dxa"/>
            <w:right w:w="108" w:type="dxa"/>
          </w:tblCellMar>
        </w:tblPrEx>
        <w:trPr>
          <w:trHeight w:val="1875" w:hRule="atLeast"/>
          <w:jc w:val="center"/>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09C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C3A6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E4DCF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B831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免费保修期结束后的维修只按优惠价格收取材料费，不收取人工费及差旅费，</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须在签订合同前提供该设备免费保修期结束后的年度维保方案和报价，以作为采购人购买后续服务的基本保证。</w:t>
            </w:r>
          </w:p>
        </w:tc>
      </w:tr>
      <w:tr w14:paraId="1C83C9A0">
        <w:tblPrEx>
          <w:tblCellMar>
            <w:top w:w="0" w:type="dxa"/>
            <w:left w:w="108" w:type="dxa"/>
            <w:bottom w:w="0" w:type="dxa"/>
            <w:right w:w="108" w:type="dxa"/>
          </w:tblCellMar>
        </w:tblPrEx>
        <w:trPr>
          <w:trHeight w:val="375" w:hRule="atLeast"/>
          <w:jc w:val="center"/>
        </w:trPr>
        <w:tc>
          <w:tcPr>
            <w:tcW w:w="8951"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8B78408">
            <w:pPr>
              <w:widowControl/>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（三）其他商务要求</w:t>
            </w:r>
          </w:p>
        </w:tc>
      </w:tr>
      <w:tr w14:paraId="3D245C77">
        <w:tblPrEx>
          <w:tblCellMar>
            <w:top w:w="0" w:type="dxa"/>
            <w:left w:w="108" w:type="dxa"/>
            <w:bottom w:w="0" w:type="dxa"/>
            <w:right w:w="108" w:type="dxa"/>
          </w:tblCellMar>
        </w:tblPrEx>
        <w:trPr>
          <w:trHeight w:val="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CEE2C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DB069B">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关于交货</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00926">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1DC9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合同签订或约定之日起</w:t>
            </w:r>
            <w:r>
              <w:rPr>
                <w:rStyle w:val="13"/>
                <w:rFonts w:hint="default" w:hAnsi="宋体"/>
                <w:highlight w:val="none"/>
                <w:lang w:bidi="ar"/>
              </w:rPr>
              <w:t>30</w:t>
            </w:r>
            <w:r>
              <w:rPr>
                <w:rStyle w:val="14"/>
                <w:rFonts w:hint="default" w:hAnsi="宋体"/>
                <w:highlight w:val="none"/>
                <w:lang w:bidi="ar"/>
              </w:rPr>
              <w:t>日历天内交货。</w:t>
            </w:r>
          </w:p>
        </w:tc>
      </w:tr>
      <w:tr w14:paraId="77F09181">
        <w:tblPrEx>
          <w:tblCellMar>
            <w:top w:w="0" w:type="dxa"/>
            <w:left w:w="108" w:type="dxa"/>
            <w:bottom w:w="0" w:type="dxa"/>
            <w:right w:w="108" w:type="dxa"/>
          </w:tblCellMar>
        </w:tblPrEx>
        <w:trPr>
          <w:trHeight w:val="3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487308">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A8B2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0D34E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95878E">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地点：采购人指定地点。</w:t>
            </w:r>
          </w:p>
        </w:tc>
      </w:tr>
      <w:tr w14:paraId="60648EDD">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C03AA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898D5D">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2B57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A0FA7">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必须在交货之日</w:t>
            </w:r>
            <w:r>
              <w:rPr>
                <w:rFonts w:hint="eastAsia" w:ascii="仿宋_GB2312" w:hAnsi="宋体" w:eastAsia="仿宋_GB2312" w:cs="仿宋_GB2312"/>
                <w:b w:val="0"/>
                <w:bCs w:val="0"/>
                <w:color w:val="000000"/>
                <w:kern w:val="0"/>
                <w:sz w:val="28"/>
                <w:szCs w:val="28"/>
                <w:highlight w:val="none"/>
                <w:lang w:bidi="ar"/>
              </w:rPr>
              <w:t>起</w:t>
            </w:r>
            <w:r>
              <w:rPr>
                <w:rStyle w:val="13"/>
                <w:rFonts w:hint="default" w:hAnsi="宋体"/>
                <w:b w:val="0"/>
                <w:bCs w:val="0"/>
                <w:highlight w:val="none"/>
                <w:lang w:bidi="ar"/>
              </w:rPr>
              <w:t>60</w:t>
            </w:r>
            <w:r>
              <w:rPr>
                <w:rStyle w:val="14"/>
                <w:rFonts w:hint="default" w:hAnsi="宋体"/>
                <w:highlight w:val="none"/>
                <w:lang w:bidi="ar"/>
              </w:rPr>
              <w:t>日历天内完成安装、调试，但采购人另有书面通知的，以采购人书面通知为准；设备需要在现场安装调试，因采购人现场不具备安装调试条件导致工期延误时，安装调试完工日期应当顺延，具体顺延期限由双方商定。</w:t>
            </w:r>
          </w:p>
        </w:tc>
      </w:tr>
      <w:tr w14:paraId="5D4D1DEE">
        <w:tblPrEx>
          <w:tblCellMar>
            <w:top w:w="0" w:type="dxa"/>
            <w:left w:w="108" w:type="dxa"/>
            <w:bottom w:w="0" w:type="dxa"/>
            <w:right w:w="108" w:type="dxa"/>
          </w:tblCellMar>
        </w:tblPrEx>
        <w:trPr>
          <w:trHeight w:val="30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E46C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F2630">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9A899">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BB62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包装运输：</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必须是1年内生产的未经使用过的、全新的、完整的，并且应当符合医疗器械强制性国家标准；尚无强制性国家标准的，应当符合医疗器械强制性行业标准，或具有有关质检部门出具的设备检验合格证明。同时，要求设备使用国际通用的标准包装，适合于长途运输，外包装到货时应完好无损，外包装破损时采购人有权拒收，由此产生的其他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承担，（包括但不限于运输费、装卸费、保管费等）。</w:t>
            </w:r>
          </w:p>
        </w:tc>
      </w:tr>
      <w:tr w14:paraId="7AC7D13E">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DA7CC5">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1D5D78">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关于验收</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F5B5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9182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货物经过双方检验认可后，签署验收报告，产品保修期自验收合格之日起算，由投标人提供产品保修文件。</w:t>
            </w:r>
          </w:p>
        </w:tc>
      </w:tr>
      <w:tr w14:paraId="15567E62">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7CBC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05BD8">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0A35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5B933">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当满足以下条件时，采购人才向</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签发货物验收报告：</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已按照合同规定提供了全部产品及完整的技术资料。货物符合招标文件技术要求，性能满足要求。国产货物必须具备产品合格证。</w:t>
            </w:r>
          </w:p>
        </w:tc>
      </w:tr>
      <w:tr w14:paraId="7F8F78A3">
        <w:tblPrEx>
          <w:tblCellMar>
            <w:top w:w="0" w:type="dxa"/>
            <w:left w:w="108" w:type="dxa"/>
            <w:bottom w:w="0" w:type="dxa"/>
            <w:right w:w="108" w:type="dxa"/>
          </w:tblCellMar>
        </w:tblPrEx>
        <w:trPr>
          <w:trHeight w:val="7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CEC4B72">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9C84D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819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2DA2C">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凡属于国家规定强制检测的设备项目，都必须具备计量质检部门的检测合格证。</w:t>
            </w:r>
          </w:p>
        </w:tc>
      </w:tr>
      <w:tr w14:paraId="736DE94E">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97F6F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43C584">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27EB0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DE3B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验收过程中，如采购人拟对货物质量进行实质验收时，有权邀请第三方检测机构对货物进行检测或测试，因此所需的费用由</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承担。</w:t>
            </w:r>
          </w:p>
        </w:tc>
      </w:tr>
      <w:tr w14:paraId="5DDD1A7C">
        <w:tblPrEx>
          <w:tblCellMar>
            <w:top w:w="0" w:type="dxa"/>
            <w:left w:w="108" w:type="dxa"/>
            <w:bottom w:w="0" w:type="dxa"/>
            <w:right w:w="108" w:type="dxa"/>
          </w:tblCellMar>
        </w:tblPrEx>
        <w:trPr>
          <w:trHeight w:val="4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BE3706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648E7E">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6B6F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D2790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提供的设备为第一类医疗器械的，验收时应当提供医疗行业主管部门签发的有效的《医疗器械备案凭证》；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提供的设备为第二、三类医疗器械的，应当提供医疗行业主管部门签发的涵盖</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提供设备的《医疗器械注册证》。</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应确保货物与注册证或备案凭证所附之产品技术要求相符。如所投产品不属于第一、二、三类医疗器械的，验收时可以不提供《医疗器械备案凭证》或《医疗器械注册证》，但需提供投标人关于所投产品不属于医疗器械的相关说明（加盖投标人公章）</w:t>
            </w:r>
          </w:p>
        </w:tc>
      </w:tr>
      <w:tr w14:paraId="2E270621">
        <w:tblPrEx>
          <w:tblCellMar>
            <w:top w:w="0" w:type="dxa"/>
            <w:left w:w="108" w:type="dxa"/>
            <w:bottom w:w="0" w:type="dxa"/>
            <w:right w:w="108" w:type="dxa"/>
          </w:tblCellMar>
        </w:tblPrEx>
        <w:trPr>
          <w:trHeight w:val="11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BC34E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069591">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AF0C3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2.6</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0AF3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在验收过程中，中标人需出具与设备制造商签订的与原合同条款一致的维保合同或原厂维保承诺函。</w:t>
            </w:r>
          </w:p>
        </w:tc>
      </w:tr>
      <w:tr w14:paraId="07CD4A3B">
        <w:tblPrEx>
          <w:tblCellMar>
            <w:top w:w="0" w:type="dxa"/>
            <w:left w:w="108" w:type="dxa"/>
            <w:bottom w:w="0" w:type="dxa"/>
            <w:right w:w="108" w:type="dxa"/>
          </w:tblCellMar>
        </w:tblPrEx>
        <w:trPr>
          <w:trHeight w:val="18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A28E87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DE9DD3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其他</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25B9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462DA">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须支持物联网协议，便于与医院信息系统的对接，按采购人要求无条件开放数据交换接口，并提供技术支持（中标</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不得向采购人收取额外的费用），并保证所使用软件的合法性，任何知识产权纠纷与采购人无关。</w:t>
            </w:r>
          </w:p>
        </w:tc>
      </w:tr>
      <w:tr w14:paraId="46849CDB">
        <w:tblPrEx>
          <w:tblCellMar>
            <w:top w:w="0" w:type="dxa"/>
            <w:left w:w="108" w:type="dxa"/>
            <w:bottom w:w="0" w:type="dxa"/>
            <w:right w:w="108" w:type="dxa"/>
          </w:tblCellMar>
        </w:tblPrEx>
        <w:trPr>
          <w:trHeight w:val="225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F41C80">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D1EC8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AA65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DF1BD">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若所投产品为进口产品，投标人必须是所投产品的制造商或合法代理商或合法授权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（提供相关证明扫描件）；若所投产品是国产产品（非进口产品），则投标人不需要提供其为所投产品的制造商或合法代理商或合法授权</w:t>
            </w: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的证明。</w:t>
            </w:r>
          </w:p>
        </w:tc>
      </w:tr>
      <w:tr w14:paraId="04224C1F">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E2A317">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87342F">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2179B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7142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若所投产品为进口产品，则投标人需提供由制造商或授权的中国总代理签署的合法有效的保修、维修承诺函（免费保修期满足招标文件要求）扫描件；若所投产品为国产产品，则无需提供。</w:t>
            </w:r>
          </w:p>
        </w:tc>
      </w:tr>
      <w:tr w14:paraId="1DA8D884">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EC313BC">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D4959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C877">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3.4</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06D4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eastAsia="zh-CN" w:bidi="ar"/>
              </w:rPr>
              <w:t>投标人</w:t>
            </w:r>
            <w:r>
              <w:rPr>
                <w:rFonts w:hint="eastAsia" w:ascii="仿宋_GB2312" w:hAnsi="宋体" w:eastAsia="仿宋_GB2312" w:cs="仿宋_GB2312"/>
                <w:color w:val="000000"/>
                <w:kern w:val="0"/>
                <w:sz w:val="28"/>
                <w:szCs w:val="28"/>
                <w:highlight w:val="none"/>
                <w:lang w:bidi="ar"/>
              </w:rPr>
              <w:t>所提供的设备，若该设备配有专用的配套医用耗材，则此类耗材必须通过深圳市医用耗材阳光交易和监管平台进行交易，且供货价格必须遵循阳光平台所公布的最低成交价。未在平台上交易的耗材，必须提供相应的报价单。</w:t>
            </w:r>
          </w:p>
        </w:tc>
      </w:tr>
      <w:tr w14:paraId="3844ADCD">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45A5EB">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742C92">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04C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3.5</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9CC22">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本次标的若包含软件服务，需本地化部署，并严格遵照《信息安全法》等相关法律法规，符合网络安全管理相关规定，所有数据未经采购方允许，不得向第三方私自泄漏。</w:t>
            </w:r>
          </w:p>
        </w:tc>
      </w:tr>
      <w:tr w14:paraId="531EA40B">
        <w:tblPrEx>
          <w:tblCellMar>
            <w:top w:w="0" w:type="dxa"/>
            <w:left w:w="108" w:type="dxa"/>
            <w:bottom w:w="0" w:type="dxa"/>
            <w:right w:w="108" w:type="dxa"/>
          </w:tblCellMar>
        </w:tblPrEx>
        <w:trPr>
          <w:trHeight w:val="112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351C1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4</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DB9B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关于付款</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4CA50">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2D73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合同生效后，货到指定地点，安装验收合格后，采购人收到投标人提供的相应金额合法有效发票后，支付合同总金额的100%。</w:t>
            </w:r>
          </w:p>
        </w:tc>
      </w:tr>
      <w:tr w14:paraId="3AE679F3">
        <w:tblPrEx>
          <w:tblCellMar>
            <w:top w:w="0" w:type="dxa"/>
            <w:left w:w="108" w:type="dxa"/>
            <w:bottom w:w="0" w:type="dxa"/>
            <w:right w:w="108" w:type="dxa"/>
          </w:tblCellMar>
        </w:tblPrEx>
        <w:trPr>
          <w:trHeight w:val="262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C884A1">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EAF701A">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D6DB8F">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 xml:space="preserve">1.2 </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B4CA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采购人使用的是财政资金，其付款时间以向政府财政部门提出办理财政支付申请手续的时间为准（不含政府财政支付部门的审核时间）。在规定时间内，一旦采购人提出支付申请手续，即视为已按期支付。若因财政审批原因导致的延期付款，采购人不承担违约责任，中标人应继续履行约定的义务。</w:t>
            </w:r>
          </w:p>
        </w:tc>
      </w:tr>
      <w:tr w14:paraId="3BFDD1AF">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91EA55">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A6EAD67">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1A26A">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6A15B">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若本项目财政下达的资金数额不足以支付合同约定的比例金额，采购人将按照实际财政下达的资金数额支付合同款，不足部分将待新的项目资金下达后进行支付。</w:t>
            </w:r>
          </w:p>
        </w:tc>
      </w:tr>
      <w:tr w14:paraId="3FCCCDE9">
        <w:tblPrEx>
          <w:tblCellMar>
            <w:top w:w="0" w:type="dxa"/>
            <w:left w:w="108" w:type="dxa"/>
            <w:bottom w:w="0" w:type="dxa"/>
            <w:right w:w="108" w:type="dxa"/>
          </w:tblCellMar>
        </w:tblPrEx>
        <w:trPr>
          <w:trHeight w:val="3375" w:hRule="atLeast"/>
          <w:jc w:val="center"/>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9B2D28E">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5</w:t>
            </w:r>
          </w:p>
        </w:tc>
        <w:tc>
          <w:tcPr>
            <w:tcW w:w="73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32FDDD">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违约责任</w:t>
            </w: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77FA43">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1.1</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F0BF6">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投标人交付的设备品种、型号、规格、质量不符合合同和招标文件要求的，采购人有权拒绝收货，且投标人须赔付采购人设备总值10%的违约金。当投标文件所附配置清单与招标文件要求不一致时，以招标文件要求为准。任何对招标文件要求的修改，应以补充合同的形式签订，但不得涉及招标实质性要求。招标实质性要求包括：产品品牌、型号、价格、技术参数和售后服务要求等。</w:t>
            </w:r>
          </w:p>
        </w:tc>
      </w:tr>
      <w:tr w14:paraId="0C32ECD3">
        <w:tblPrEx>
          <w:tblCellMar>
            <w:top w:w="0" w:type="dxa"/>
            <w:left w:w="108" w:type="dxa"/>
            <w:bottom w:w="0" w:type="dxa"/>
            <w:right w:w="108" w:type="dxa"/>
          </w:tblCellMar>
        </w:tblPrEx>
        <w:trPr>
          <w:trHeight w:val="1500"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AE3933">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56FB8C">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F1F00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1.2</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FB859">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由于投标人的原因未能按时交货的，每迟一天向采购人支付合同总额的0.5%违约金，如超过交货期10天，采购人有权终止合同并通过法律程序对投标人进行索赔。</w:t>
            </w:r>
          </w:p>
        </w:tc>
      </w:tr>
      <w:tr w14:paraId="7FACE48B">
        <w:tblPrEx>
          <w:tblCellMar>
            <w:top w:w="0" w:type="dxa"/>
            <w:left w:w="108" w:type="dxa"/>
            <w:bottom w:w="0" w:type="dxa"/>
            <w:right w:w="108" w:type="dxa"/>
          </w:tblCellMar>
        </w:tblPrEx>
        <w:trPr>
          <w:trHeight w:val="1875" w:hRule="atLeast"/>
          <w:jc w:val="center"/>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053C1A">
            <w:pPr>
              <w:jc w:val="center"/>
              <w:rPr>
                <w:rFonts w:ascii="仿宋_GB2312" w:hAnsi="宋体" w:eastAsia="仿宋_GB2312" w:cs="仿宋_GB2312"/>
                <w:b/>
                <w:bCs/>
                <w:color w:val="000000"/>
                <w:sz w:val="28"/>
                <w:szCs w:val="28"/>
                <w:highlight w:val="none"/>
              </w:rPr>
            </w:pPr>
          </w:p>
        </w:tc>
        <w:tc>
          <w:tcPr>
            <w:tcW w:w="73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166355">
            <w:pPr>
              <w:jc w:val="center"/>
              <w:rPr>
                <w:rFonts w:ascii="仿宋_GB2312" w:hAnsi="宋体" w:eastAsia="仿宋_GB2312" w:cs="仿宋_GB2312"/>
                <w:b/>
                <w:bCs/>
                <w:color w:val="000000"/>
                <w:sz w:val="28"/>
                <w:szCs w:val="28"/>
                <w:highlight w:val="none"/>
              </w:rPr>
            </w:pPr>
          </w:p>
        </w:tc>
        <w:tc>
          <w:tcPr>
            <w:tcW w:w="10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CC02F1">
            <w:pPr>
              <w:widowControl/>
              <w:jc w:val="center"/>
              <w:textAlignment w:val="center"/>
              <w:rPr>
                <w:rFonts w:ascii="仿宋_GB2312" w:hAnsi="宋体" w:eastAsia="仿宋_GB2312" w:cs="仿宋_GB2312"/>
                <w:b/>
                <w:bCs/>
                <w:color w:val="000000"/>
                <w:sz w:val="28"/>
                <w:szCs w:val="28"/>
                <w:highlight w:val="none"/>
              </w:rPr>
            </w:pPr>
            <w:r>
              <w:rPr>
                <w:rFonts w:hint="eastAsia" w:ascii="仿宋_GB2312" w:hAnsi="宋体" w:eastAsia="仿宋_GB2312" w:cs="仿宋_GB2312"/>
                <w:b/>
                <w:bCs/>
                <w:color w:val="000000"/>
                <w:kern w:val="0"/>
                <w:sz w:val="28"/>
                <w:szCs w:val="28"/>
                <w:highlight w:val="none"/>
                <w:lang w:bidi="ar"/>
              </w:rPr>
              <w:t>1.3</w:t>
            </w:r>
          </w:p>
        </w:tc>
        <w:tc>
          <w:tcPr>
            <w:tcW w:w="66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F636A4">
            <w:pPr>
              <w:widowControl/>
              <w:textAlignment w:val="center"/>
              <w:rPr>
                <w:rFonts w:ascii="仿宋_GB2312" w:hAnsi="宋体" w:eastAsia="仿宋_GB2312" w:cs="仿宋_GB2312"/>
                <w:color w:val="000000"/>
                <w:sz w:val="28"/>
                <w:szCs w:val="28"/>
                <w:highlight w:val="none"/>
              </w:rPr>
            </w:pPr>
            <w:r>
              <w:rPr>
                <w:rFonts w:hint="eastAsia" w:ascii="仿宋_GB2312" w:hAnsi="宋体" w:eastAsia="仿宋_GB2312" w:cs="仿宋_GB2312"/>
                <w:color w:val="000000"/>
                <w:kern w:val="0"/>
                <w:sz w:val="28"/>
                <w:szCs w:val="28"/>
                <w:highlight w:val="none"/>
                <w:lang w:bidi="ar"/>
              </w:rPr>
              <w:t>由于投标人的原因，在货到一周内未进行安装调试，或安装调试时间超过正常要求，按每超过一天按合同总额的0.5%向采购人支付违约金。情节严重者，将依法律程序对投标人进行索赔。</w:t>
            </w:r>
          </w:p>
        </w:tc>
      </w:tr>
    </w:tbl>
    <w:p w14:paraId="00447016">
      <w:pPr>
        <w:pStyle w:val="2"/>
        <w:numPr>
          <w:ilvl w:val="0"/>
          <w:numId w:val="0"/>
        </w:numPr>
        <w:spacing w:before="0" w:after="0" w:line="240" w:lineRule="auto"/>
        <w:rPr>
          <w:rFonts w:hint="eastAsia" w:ascii="仿宋" w:hAnsi="仿宋" w:eastAsia="仿宋"/>
          <w:sz w:val="28"/>
          <w:szCs w:val="28"/>
          <w:highlight w:val="none"/>
          <w:lang w:eastAsia="zh-CN"/>
        </w:rPr>
      </w:pPr>
      <w:r>
        <w:rPr>
          <w:rFonts w:hint="eastAsia" w:ascii="仿宋_GB2312" w:hAnsi="仿宋_GB2312" w:eastAsia="仿宋_GB2312" w:cs="仿宋_GB2312"/>
          <w:b/>
          <w:bCs/>
          <w:sz w:val="28"/>
          <w:szCs w:val="28"/>
          <w:highlight w:val="none"/>
          <w:lang w:eastAsia="zh-CN"/>
        </w:rPr>
        <w:t>（</w:t>
      </w:r>
      <w:r>
        <w:rPr>
          <w:rFonts w:hint="eastAsia" w:ascii="仿宋_GB2312" w:hAnsi="仿宋_GB2312" w:eastAsia="仿宋_GB2312" w:cs="仿宋_GB2312"/>
          <w:b/>
          <w:bCs/>
          <w:sz w:val="28"/>
          <w:szCs w:val="28"/>
          <w:highlight w:val="none"/>
          <w:lang w:val="en-US" w:eastAsia="zh-CN"/>
        </w:rPr>
        <w:t>七</w:t>
      </w:r>
      <w:r>
        <w:rPr>
          <w:rFonts w:hint="eastAsia" w:ascii="仿宋_GB2312" w:hAnsi="仿宋_GB2312" w:eastAsia="仿宋_GB2312" w:cs="仿宋_GB2312"/>
          <w:b/>
          <w:bCs/>
          <w:sz w:val="28"/>
          <w:szCs w:val="28"/>
          <w:highlight w:val="none"/>
          <w:lang w:eastAsia="zh-CN"/>
        </w:rPr>
        <w:t>）</w:t>
      </w:r>
      <w:r>
        <w:rPr>
          <w:rFonts w:hint="eastAsia" w:ascii="仿宋" w:hAnsi="仿宋" w:eastAsia="仿宋"/>
          <w:sz w:val="28"/>
          <w:szCs w:val="28"/>
          <w:highlight w:val="none"/>
        </w:rPr>
        <w:t>评审规则</w:t>
      </w:r>
      <w:r>
        <w:rPr>
          <w:rFonts w:hint="eastAsia" w:ascii="仿宋" w:hAnsi="仿宋" w:eastAsia="仿宋"/>
          <w:sz w:val="28"/>
          <w:szCs w:val="28"/>
          <w:highlight w:val="none"/>
          <w:lang w:eastAsia="zh-CN"/>
        </w:rPr>
        <w:t>：</w:t>
      </w:r>
    </w:p>
    <w:p w14:paraId="7D98FF9F">
      <w:pPr>
        <w:adjustRightInd w:val="0"/>
        <w:snapToGrid w:val="0"/>
        <w:jc w:val="left"/>
        <w:rPr>
          <w:rFonts w:hint="eastAsia" w:ascii="仿宋" w:hAnsi="仿宋" w:eastAsia="仿宋"/>
          <w:sz w:val="28"/>
          <w:szCs w:val="28"/>
          <w:highlight w:val="none"/>
        </w:rPr>
      </w:pPr>
      <w:r>
        <w:rPr>
          <w:rFonts w:hint="eastAsia" w:ascii="仿宋" w:hAnsi="仿宋" w:eastAsia="仿宋"/>
          <w:sz w:val="28"/>
          <w:szCs w:val="28"/>
          <w:highlight w:val="none"/>
          <w:lang w:val="en-US" w:eastAsia="zh-CN"/>
        </w:rPr>
        <w:t>1.</w:t>
      </w:r>
      <w:r>
        <w:rPr>
          <w:rFonts w:hint="eastAsia" w:ascii="仿宋" w:hAnsi="仿宋" w:eastAsia="仿宋"/>
          <w:sz w:val="28"/>
          <w:szCs w:val="28"/>
          <w:highlight w:val="none"/>
        </w:rPr>
        <w:t>评标方法：最低评标价法</w:t>
      </w:r>
    </w:p>
    <w:p w14:paraId="16A7993F">
      <w:pPr>
        <w:bidi w:val="0"/>
        <w:rPr>
          <w:rFonts w:hint="eastAsia" w:asciiTheme="minorHAnsi" w:hAnsiTheme="minorHAnsi" w:eastAsiaTheme="minorEastAsia" w:cstheme="minorBidi"/>
          <w:kern w:val="2"/>
          <w:sz w:val="21"/>
          <w:szCs w:val="22"/>
          <w:highlight w:val="none"/>
          <w:lang w:val="en-US" w:eastAsia="zh-CN" w:bidi="ar-SA"/>
        </w:rPr>
      </w:pPr>
    </w:p>
    <w:p w14:paraId="7694DA10">
      <w:pPr>
        <w:bidi w:val="0"/>
        <w:rPr>
          <w:rFonts w:hint="eastAsia"/>
          <w:highlight w:val="none"/>
          <w:lang w:val="en-US" w:eastAsia="zh-CN"/>
        </w:rPr>
      </w:pPr>
    </w:p>
    <w:p w14:paraId="0E9FEA1F">
      <w:pPr>
        <w:bidi w:val="0"/>
        <w:rPr>
          <w:rFonts w:hint="eastAsia"/>
          <w:highlight w:val="none"/>
          <w:lang w:val="en-US" w:eastAsia="zh-CN"/>
        </w:rPr>
      </w:pPr>
    </w:p>
    <w:p w14:paraId="6859930D">
      <w:pPr>
        <w:bidi w:val="0"/>
        <w:rPr>
          <w:rFonts w:hint="eastAsia"/>
          <w:highlight w:val="none"/>
          <w:lang w:val="en-US" w:eastAsia="zh-CN"/>
        </w:rPr>
      </w:pPr>
    </w:p>
    <w:p w14:paraId="3791A055">
      <w:pPr>
        <w:bidi w:val="0"/>
        <w:rPr>
          <w:rFonts w:hint="eastAsia"/>
          <w:highlight w:val="none"/>
          <w:lang w:val="en-US" w:eastAsia="zh-CN"/>
        </w:rPr>
      </w:pPr>
    </w:p>
    <w:p w14:paraId="610E3FD2">
      <w:pPr>
        <w:bidi w:val="0"/>
        <w:rPr>
          <w:rFonts w:hint="eastAsia"/>
          <w:highlight w:val="none"/>
          <w:lang w:val="en-US" w:eastAsia="zh-CN"/>
        </w:rPr>
      </w:pPr>
    </w:p>
    <w:p w14:paraId="091699CF">
      <w:pPr>
        <w:bidi w:val="0"/>
        <w:rPr>
          <w:rFonts w:hint="eastAsia"/>
          <w:highlight w:val="none"/>
          <w:lang w:val="en-US" w:eastAsia="zh-CN"/>
        </w:rPr>
      </w:pPr>
    </w:p>
    <w:p w14:paraId="08DAA005">
      <w:pPr>
        <w:bidi w:val="0"/>
        <w:rPr>
          <w:rFonts w:hint="eastAsia"/>
          <w:highlight w:val="none"/>
          <w:lang w:val="en-US" w:eastAsia="zh-CN"/>
        </w:rPr>
      </w:pPr>
    </w:p>
    <w:p w14:paraId="0B5866D6">
      <w:pPr>
        <w:bidi w:val="0"/>
        <w:rPr>
          <w:rFonts w:hint="eastAsia"/>
          <w:highlight w:val="none"/>
          <w:lang w:val="en-US" w:eastAsia="zh-CN"/>
        </w:rPr>
      </w:pPr>
    </w:p>
    <w:p w14:paraId="73918568">
      <w:pPr>
        <w:bidi w:val="0"/>
        <w:rPr>
          <w:rFonts w:hint="eastAsia"/>
          <w:highlight w:val="none"/>
          <w:lang w:val="en-US" w:eastAsia="zh-CN"/>
        </w:rPr>
      </w:pPr>
    </w:p>
    <w:p w14:paraId="6D23B80F">
      <w:pPr>
        <w:bidi w:val="0"/>
        <w:rPr>
          <w:rFonts w:hint="eastAsia"/>
          <w:highlight w:val="none"/>
          <w:lang w:val="en-US" w:eastAsia="zh-CN"/>
        </w:rPr>
      </w:pPr>
    </w:p>
    <w:p w14:paraId="7DAC826E">
      <w:pPr>
        <w:bidi w:val="0"/>
        <w:rPr>
          <w:rFonts w:hint="eastAsia"/>
          <w:highlight w:val="none"/>
          <w:lang w:val="en-US" w:eastAsia="zh-CN"/>
        </w:rPr>
      </w:pPr>
    </w:p>
    <w:p w14:paraId="1E1252E6">
      <w:pPr>
        <w:bidi w:val="0"/>
        <w:rPr>
          <w:rFonts w:hint="eastAsia"/>
          <w:highlight w:val="none"/>
          <w:lang w:val="en-US" w:eastAsia="zh-CN"/>
        </w:rPr>
      </w:pPr>
    </w:p>
    <w:p w14:paraId="0FBFCA25">
      <w:pPr>
        <w:bidi w:val="0"/>
        <w:rPr>
          <w:rFonts w:hint="eastAsia"/>
          <w:highlight w:val="none"/>
          <w:lang w:val="en-US" w:eastAsia="zh-CN"/>
        </w:rPr>
      </w:pPr>
    </w:p>
    <w:p w14:paraId="3A25E196">
      <w:pPr>
        <w:bidi w:val="0"/>
        <w:rPr>
          <w:rFonts w:hint="eastAsia"/>
          <w:highlight w:val="none"/>
          <w:lang w:val="en-US" w:eastAsia="zh-CN"/>
        </w:rPr>
      </w:pPr>
    </w:p>
    <w:p w14:paraId="6157B628">
      <w:pPr>
        <w:bidi w:val="0"/>
        <w:rPr>
          <w:rFonts w:hint="eastAsia"/>
          <w:highlight w:val="none"/>
          <w:lang w:val="en-US" w:eastAsia="zh-CN"/>
        </w:rPr>
      </w:pPr>
    </w:p>
    <w:p w14:paraId="1599DF6C">
      <w:pPr>
        <w:bidi w:val="0"/>
        <w:rPr>
          <w:rFonts w:hint="eastAsia"/>
          <w:highlight w:val="none"/>
          <w:lang w:val="en-US" w:eastAsia="zh-CN"/>
        </w:rPr>
      </w:pPr>
    </w:p>
    <w:p w14:paraId="2A317386">
      <w:pPr>
        <w:bidi w:val="0"/>
        <w:rPr>
          <w:rFonts w:hint="eastAsia"/>
          <w:highlight w:val="none"/>
          <w:lang w:val="en-US" w:eastAsia="zh-CN"/>
        </w:rPr>
      </w:pPr>
    </w:p>
    <w:p w14:paraId="4FF12F0E">
      <w:pPr>
        <w:bidi w:val="0"/>
        <w:rPr>
          <w:rFonts w:hint="eastAsia"/>
          <w:highlight w:val="none"/>
          <w:lang w:val="en-US" w:eastAsia="zh-CN"/>
        </w:rPr>
      </w:pPr>
    </w:p>
    <w:p w14:paraId="16BDFCF1">
      <w:pPr>
        <w:bidi w:val="0"/>
        <w:rPr>
          <w:rFonts w:hint="eastAsia"/>
          <w:highlight w:val="none"/>
          <w:lang w:val="en-US" w:eastAsia="zh-CN"/>
        </w:rPr>
      </w:pPr>
    </w:p>
    <w:p w14:paraId="4CB14AF4">
      <w:pPr>
        <w:bidi w:val="0"/>
        <w:rPr>
          <w:rFonts w:hint="eastAsia"/>
          <w:highlight w:val="none"/>
          <w:lang w:val="en-US" w:eastAsia="zh-CN"/>
        </w:rPr>
      </w:pPr>
    </w:p>
    <w:p w14:paraId="428AE3F1">
      <w:pPr>
        <w:bidi w:val="0"/>
        <w:rPr>
          <w:rFonts w:hint="eastAsia"/>
          <w:highlight w:val="none"/>
          <w:lang w:val="en-US" w:eastAsia="zh-CN"/>
        </w:rPr>
      </w:pPr>
    </w:p>
    <w:p w14:paraId="5034938A">
      <w:pPr>
        <w:bidi w:val="0"/>
        <w:rPr>
          <w:rFonts w:hint="eastAsia"/>
          <w:highlight w:val="none"/>
          <w:lang w:val="en-US" w:eastAsia="zh-CN"/>
        </w:rPr>
      </w:pPr>
    </w:p>
    <w:p w14:paraId="423DB04C">
      <w:pPr>
        <w:bidi w:val="0"/>
        <w:rPr>
          <w:rFonts w:hint="eastAsia"/>
          <w:highlight w:val="none"/>
          <w:lang w:val="en-US" w:eastAsia="zh-CN"/>
        </w:rPr>
      </w:pPr>
    </w:p>
    <w:p w14:paraId="0CA83F53">
      <w:pPr>
        <w:bidi w:val="0"/>
        <w:rPr>
          <w:rFonts w:hint="eastAsia"/>
          <w:highlight w:val="none"/>
          <w:lang w:val="en-US" w:eastAsia="zh-CN"/>
        </w:rPr>
      </w:pPr>
    </w:p>
    <w:p w14:paraId="4066A2F9">
      <w:pPr>
        <w:bidi w:val="0"/>
        <w:rPr>
          <w:rFonts w:hint="eastAsia"/>
          <w:highlight w:val="none"/>
          <w:lang w:val="en-US" w:eastAsia="zh-CN"/>
        </w:rPr>
      </w:pPr>
    </w:p>
    <w:p w14:paraId="7AA0FD6B">
      <w:pPr>
        <w:bidi w:val="0"/>
        <w:rPr>
          <w:rFonts w:hint="eastAsia"/>
          <w:highlight w:val="none"/>
          <w:lang w:val="en-US" w:eastAsia="zh-CN"/>
        </w:rPr>
      </w:pPr>
    </w:p>
    <w:p w14:paraId="3EDC5DE8">
      <w:pPr>
        <w:bidi w:val="0"/>
        <w:rPr>
          <w:rFonts w:hint="eastAsia"/>
          <w:highlight w:val="none"/>
          <w:lang w:val="en-US" w:eastAsia="zh-CN"/>
        </w:rPr>
      </w:pPr>
    </w:p>
    <w:p w14:paraId="705C6508">
      <w:pPr>
        <w:bidi w:val="0"/>
        <w:rPr>
          <w:rFonts w:hint="eastAsia"/>
          <w:highlight w:val="none"/>
          <w:lang w:val="en-US" w:eastAsia="zh-CN"/>
        </w:rPr>
      </w:pPr>
    </w:p>
    <w:p w14:paraId="26F0A7D2">
      <w:pPr>
        <w:bidi w:val="0"/>
        <w:rPr>
          <w:rFonts w:hint="eastAsia"/>
          <w:highlight w:val="none"/>
          <w:lang w:val="en-US" w:eastAsia="zh-CN"/>
        </w:rPr>
      </w:pPr>
    </w:p>
    <w:p w14:paraId="040D376C">
      <w:pPr>
        <w:bidi w:val="0"/>
        <w:rPr>
          <w:rFonts w:hint="eastAsia"/>
          <w:highlight w:val="none"/>
          <w:lang w:val="en-US" w:eastAsia="zh-CN"/>
        </w:rPr>
      </w:pPr>
    </w:p>
    <w:p w14:paraId="6FCEF723">
      <w:pPr>
        <w:bidi w:val="0"/>
        <w:rPr>
          <w:rFonts w:hint="eastAsia"/>
          <w:highlight w:val="none"/>
          <w:lang w:val="en-US" w:eastAsia="zh-CN"/>
        </w:rPr>
      </w:pPr>
    </w:p>
    <w:p w14:paraId="6EBAB866">
      <w:pPr>
        <w:rPr>
          <w:rFonts w:hint="eastAsia"/>
          <w:highlight w:val="none"/>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0109758"/>
    </w:sdtPr>
    <w:sdtContent>
      <w:p w14:paraId="11098A63">
        <w:pPr>
          <w:pStyle w:val="4"/>
          <w:jc w:val="center"/>
        </w:pPr>
        <w:r>
          <w:fldChar w:fldCharType="begin"/>
        </w:r>
        <w:r>
          <w:instrText xml:space="preserve">PAGE   \* MERGEFORMAT</w:instrText>
        </w:r>
        <w:r>
          <w:fldChar w:fldCharType="separate"/>
        </w:r>
        <w:r>
          <w:rPr>
            <w:lang w:val="zh-CN"/>
          </w:rPr>
          <w:t>2</w:t>
        </w:r>
        <w: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D67174">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36F45"/>
    <w:multiLevelType w:val="singleLevel"/>
    <w:tmpl w:val="96F36F45"/>
    <w:lvl w:ilvl="0" w:tentative="0">
      <w:start w:val="1"/>
      <w:numFmt w:val="decimal"/>
      <w:lvlText w:val="%1."/>
      <w:lvlJc w:val="left"/>
      <w:pPr>
        <w:ind w:left="425" w:hanging="425"/>
      </w:pPr>
      <w:rPr>
        <w:rFonts w:hint="default"/>
      </w:rPr>
    </w:lvl>
  </w:abstractNum>
  <w:abstractNum w:abstractNumId="1">
    <w:nsid w:val="A67903EB"/>
    <w:multiLevelType w:val="singleLevel"/>
    <w:tmpl w:val="A67903EB"/>
    <w:lvl w:ilvl="0" w:tentative="0">
      <w:start w:val="3"/>
      <w:numFmt w:val="chineseCounting"/>
      <w:suff w:val="nothing"/>
      <w:lvlText w:val="（%1）"/>
      <w:lvlJc w:val="left"/>
      <w:rPr>
        <w:rFonts w:hint="eastAsia"/>
        <w:b/>
        <w:bCs/>
      </w:rPr>
    </w:lvl>
  </w:abstractNum>
  <w:abstractNum w:abstractNumId="2">
    <w:nsid w:val="D581D833"/>
    <w:multiLevelType w:val="singleLevel"/>
    <w:tmpl w:val="D581D833"/>
    <w:lvl w:ilvl="0" w:tentative="0">
      <w:start w:val="1"/>
      <w:numFmt w:val="decimal"/>
      <w:lvlText w:val="%1."/>
      <w:lvlJc w:val="left"/>
      <w:pPr>
        <w:ind w:left="425" w:hanging="425"/>
      </w:pPr>
      <w:rPr>
        <w:rFonts w:hint="default"/>
      </w:rPr>
    </w:lvl>
  </w:abstractNum>
  <w:abstractNum w:abstractNumId="3">
    <w:nsid w:val="D7D6AF34"/>
    <w:multiLevelType w:val="singleLevel"/>
    <w:tmpl w:val="D7D6AF34"/>
    <w:lvl w:ilvl="0" w:tentative="0">
      <w:start w:val="1"/>
      <w:numFmt w:val="chineseCounting"/>
      <w:suff w:val="nothing"/>
      <w:lvlText w:val="（%1）"/>
      <w:lvlJc w:val="left"/>
      <w:rPr>
        <w:rFonts w:hint="eastAsia"/>
      </w:rPr>
    </w:lvl>
  </w:abstractNum>
  <w:abstractNum w:abstractNumId="4">
    <w:nsid w:val="11019A50"/>
    <w:multiLevelType w:val="singleLevel"/>
    <w:tmpl w:val="11019A50"/>
    <w:lvl w:ilvl="0" w:tentative="0">
      <w:start w:val="1"/>
      <w:numFmt w:val="decimal"/>
      <w:lvlText w:val="%1)"/>
      <w:lvlJc w:val="left"/>
      <w:pPr>
        <w:ind w:left="425" w:hanging="425"/>
      </w:pPr>
      <w:rPr>
        <w:rFonts w:hint="default"/>
      </w:rPr>
    </w:lvl>
  </w:abstractNum>
  <w:abstractNum w:abstractNumId="5">
    <w:nsid w:val="11702EDB"/>
    <w:multiLevelType w:val="multilevel"/>
    <w:tmpl w:val="11702EDB"/>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4F4D2419"/>
    <w:multiLevelType w:val="singleLevel"/>
    <w:tmpl w:val="4F4D2419"/>
    <w:lvl w:ilvl="0" w:tentative="0">
      <w:start w:val="1"/>
      <w:numFmt w:val="decimal"/>
      <w:lvlText w:val="(%1)"/>
      <w:lvlJc w:val="left"/>
      <w:pPr>
        <w:ind w:left="425" w:hanging="425"/>
      </w:pPr>
      <w:rPr>
        <w:rFonts w:hint="default"/>
      </w:rPr>
    </w:lvl>
  </w:abstractNum>
  <w:abstractNum w:abstractNumId="7">
    <w:nsid w:val="746A6B31"/>
    <w:multiLevelType w:val="singleLevel"/>
    <w:tmpl w:val="746A6B31"/>
    <w:lvl w:ilvl="0" w:tentative="0">
      <w:start w:val="1"/>
      <w:numFmt w:val="chineseCounting"/>
      <w:suff w:val="nothing"/>
      <w:lvlText w:val="（%1）"/>
      <w:lvlJc w:val="left"/>
      <w:pPr>
        <w:ind w:left="-420" w:firstLine="420"/>
      </w:pPr>
      <w:rPr>
        <w:rFonts w:hint="eastAsia"/>
      </w:rPr>
    </w:lvl>
  </w:abstractNum>
  <w:num w:numId="1">
    <w:abstractNumId w:val="5"/>
  </w:num>
  <w:num w:numId="2">
    <w:abstractNumId w:val="7"/>
  </w:num>
  <w:num w:numId="3">
    <w:abstractNumId w:val="3"/>
  </w:num>
  <w:num w:numId="4">
    <w:abstractNumId w:val="4"/>
  </w:num>
  <w:num w:numId="5">
    <w:abstractNumId w:val="0"/>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gxNzhhZWVjZDVjYzFiNzUyN2FlYmU1YTIwNTA2N2MifQ=="/>
  </w:docVars>
  <w:rsids>
    <w:rsidRoot w:val="00681410"/>
    <w:rsid w:val="0002072A"/>
    <w:rsid w:val="00061E07"/>
    <w:rsid w:val="00160CAF"/>
    <w:rsid w:val="00162818"/>
    <w:rsid w:val="00216720"/>
    <w:rsid w:val="002277A4"/>
    <w:rsid w:val="00473031"/>
    <w:rsid w:val="00681410"/>
    <w:rsid w:val="0078244A"/>
    <w:rsid w:val="008914B7"/>
    <w:rsid w:val="00B97AED"/>
    <w:rsid w:val="00C9106E"/>
    <w:rsid w:val="00F43941"/>
    <w:rsid w:val="01487061"/>
    <w:rsid w:val="018C33F1"/>
    <w:rsid w:val="01E90844"/>
    <w:rsid w:val="02FE20CD"/>
    <w:rsid w:val="092B34AD"/>
    <w:rsid w:val="097E7AC3"/>
    <w:rsid w:val="0C6A7D1D"/>
    <w:rsid w:val="0D532C76"/>
    <w:rsid w:val="0EA87391"/>
    <w:rsid w:val="0F621C35"/>
    <w:rsid w:val="10392996"/>
    <w:rsid w:val="124E024F"/>
    <w:rsid w:val="13A04ADA"/>
    <w:rsid w:val="15C076B6"/>
    <w:rsid w:val="19410B0E"/>
    <w:rsid w:val="1A8769F4"/>
    <w:rsid w:val="1B746F78"/>
    <w:rsid w:val="1C4A5F2B"/>
    <w:rsid w:val="1D3E161D"/>
    <w:rsid w:val="20C4005A"/>
    <w:rsid w:val="21004E0A"/>
    <w:rsid w:val="23FF75FB"/>
    <w:rsid w:val="24A73F1B"/>
    <w:rsid w:val="26461511"/>
    <w:rsid w:val="268A3AF4"/>
    <w:rsid w:val="2B033E75"/>
    <w:rsid w:val="2BE315B0"/>
    <w:rsid w:val="2C5129BE"/>
    <w:rsid w:val="2CBA4A07"/>
    <w:rsid w:val="2CC87124"/>
    <w:rsid w:val="2CF021D7"/>
    <w:rsid w:val="2EB15996"/>
    <w:rsid w:val="3071362F"/>
    <w:rsid w:val="312A0667"/>
    <w:rsid w:val="31BC3D81"/>
    <w:rsid w:val="345D1B1D"/>
    <w:rsid w:val="365D6B2F"/>
    <w:rsid w:val="386B2CF7"/>
    <w:rsid w:val="38E928FC"/>
    <w:rsid w:val="39755F3E"/>
    <w:rsid w:val="3A190FBF"/>
    <w:rsid w:val="3B7B35B3"/>
    <w:rsid w:val="3BE455FD"/>
    <w:rsid w:val="3CB054DF"/>
    <w:rsid w:val="3CB43221"/>
    <w:rsid w:val="3CD76F0F"/>
    <w:rsid w:val="3D45031D"/>
    <w:rsid w:val="3DA24B99"/>
    <w:rsid w:val="3DB8289D"/>
    <w:rsid w:val="3E244015"/>
    <w:rsid w:val="3F786788"/>
    <w:rsid w:val="3F8A2017"/>
    <w:rsid w:val="418F2299"/>
    <w:rsid w:val="450B59A8"/>
    <w:rsid w:val="47946129"/>
    <w:rsid w:val="48457423"/>
    <w:rsid w:val="48C60564"/>
    <w:rsid w:val="498C4C6F"/>
    <w:rsid w:val="49B93C25"/>
    <w:rsid w:val="4BDA60D4"/>
    <w:rsid w:val="4C4243A5"/>
    <w:rsid w:val="4C6562E6"/>
    <w:rsid w:val="4F624D5E"/>
    <w:rsid w:val="51D9166A"/>
    <w:rsid w:val="539D45B7"/>
    <w:rsid w:val="551A4C25"/>
    <w:rsid w:val="55466B36"/>
    <w:rsid w:val="55942F06"/>
    <w:rsid w:val="58331046"/>
    <w:rsid w:val="59266DFD"/>
    <w:rsid w:val="5A0F163F"/>
    <w:rsid w:val="5B48305A"/>
    <w:rsid w:val="5EEB267A"/>
    <w:rsid w:val="61A96E48"/>
    <w:rsid w:val="62F710FB"/>
    <w:rsid w:val="64011984"/>
    <w:rsid w:val="641206A9"/>
    <w:rsid w:val="64A37553"/>
    <w:rsid w:val="665C1EB0"/>
    <w:rsid w:val="665E3732"/>
    <w:rsid w:val="69AA4EE0"/>
    <w:rsid w:val="6B1C3BBC"/>
    <w:rsid w:val="6C70102E"/>
    <w:rsid w:val="6CA64085"/>
    <w:rsid w:val="6D282CEC"/>
    <w:rsid w:val="6D9C63D1"/>
    <w:rsid w:val="6E0472B5"/>
    <w:rsid w:val="6E1119D2"/>
    <w:rsid w:val="6EED5F9B"/>
    <w:rsid w:val="6F771D08"/>
    <w:rsid w:val="6FFE1AE2"/>
    <w:rsid w:val="704C0A9F"/>
    <w:rsid w:val="709856DF"/>
    <w:rsid w:val="7141437C"/>
    <w:rsid w:val="715278CE"/>
    <w:rsid w:val="718C1A9B"/>
    <w:rsid w:val="73CA68AB"/>
    <w:rsid w:val="73DF22B1"/>
    <w:rsid w:val="74974D88"/>
    <w:rsid w:val="74B15375"/>
    <w:rsid w:val="75AE135E"/>
    <w:rsid w:val="76612DCA"/>
    <w:rsid w:val="773C1FA3"/>
    <w:rsid w:val="7B2F2690"/>
    <w:rsid w:val="7F5F2E08"/>
    <w:rsid w:val="7FEF65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tabs>
        <w:tab w:val="center" w:pos="4153"/>
        <w:tab w:val="right" w:pos="8306"/>
      </w:tabs>
      <w:snapToGrid w:val="0"/>
      <w:jc w:val="center"/>
    </w:pPr>
    <w:rPr>
      <w:sz w:val="18"/>
      <w:szCs w:val="18"/>
    </w:rPr>
  </w:style>
  <w:style w:type="table" w:styleId="7">
    <w:name w:val="Table Grid"/>
    <w:basedOn w:val="6"/>
    <w:qFormat/>
    <w:uiPriority w:val="3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left="704" w:hanging="420"/>
    </w:pPr>
    <w:rPr>
      <w:rFonts w:ascii="Times New Roman" w:hAnsi="Times New Roman" w:eastAsia="黑体" w:cs="Times New Roman"/>
      <w:sz w:val="32"/>
      <w:szCs w:val="24"/>
    </w:rPr>
  </w:style>
  <w:style w:type="character" w:customStyle="1" w:styleId="12">
    <w:name w:val="标题 1 字符"/>
    <w:basedOn w:val="8"/>
    <w:link w:val="2"/>
    <w:qFormat/>
    <w:uiPriority w:val="9"/>
    <w:rPr>
      <w:b/>
      <w:bCs/>
      <w:kern w:val="44"/>
      <w:sz w:val="44"/>
      <w:szCs w:val="44"/>
    </w:rPr>
  </w:style>
  <w:style w:type="character" w:customStyle="1" w:styleId="13">
    <w:name w:val="font21"/>
    <w:basedOn w:val="8"/>
    <w:autoRedefine/>
    <w:qFormat/>
    <w:uiPriority w:val="0"/>
    <w:rPr>
      <w:rFonts w:hint="eastAsia" w:ascii="仿宋_GB2312" w:eastAsia="仿宋_GB2312" w:cs="仿宋_GB2312"/>
      <w:b/>
      <w:bCs/>
      <w:color w:val="000000"/>
      <w:sz w:val="28"/>
      <w:szCs w:val="28"/>
      <w:u w:val="none"/>
    </w:rPr>
  </w:style>
  <w:style w:type="character" w:customStyle="1" w:styleId="14">
    <w:name w:val="font31"/>
    <w:basedOn w:val="8"/>
    <w:autoRedefine/>
    <w:qFormat/>
    <w:uiPriority w:val="0"/>
    <w:rPr>
      <w:rFonts w:hint="eastAsia" w:ascii="仿宋_GB2312" w:eastAsia="仿宋_GB2312" w:cs="仿宋_GB2312"/>
      <w:color w:val="000000"/>
      <w:sz w:val="28"/>
      <w:szCs w:val="28"/>
      <w:u w:val="none"/>
    </w:rPr>
  </w:style>
  <w:style w:type="character" w:customStyle="1" w:styleId="15">
    <w:name w:val="font11"/>
    <w:basedOn w:val="8"/>
    <w:qFormat/>
    <w:uiPriority w:val="0"/>
    <w:rPr>
      <w:rFonts w:hint="eastAsia" w:ascii="宋体" w:hAnsi="宋体" w:eastAsia="宋体" w:cs="宋体"/>
      <w:color w:val="404040"/>
      <w:sz w:val="24"/>
      <w:szCs w:val="24"/>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1734</Words>
  <Characters>1807</Characters>
  <Lines>7</Lines>
  <Paragraphs>2</Paragraphs>
  <TotalTime>4</TotalTime>
  <ScaleCrop>false</ScaleCrop>
  <LinksUpToDate>false</LinksUpToDate>
  <CharactersWithSpaces>1861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2024-01-10T16:47:00Z</dcterms:created>
  <dc:creator>Liu W</dc:creator>
  <cp:lastModifiedBy>JH</cp:lastModifiedBy>
  <dcterms:modified xsi:type="dcterms:W3CDTF">2025-07-15T01:24:41Z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F4BAE01E200147C99A05A54A62E13573_13</vt:lpwstr>
  </property>
  <property fmtid="{D5CDD505-2E9C-101B-9397-08002B2CF9AE}" pid="4" name="KSOTemplateDocerSaveRecord">
    <vt:lpwstr>eyJoZGlkIjoiOTgxNzhhZWVjZDVjYzFiNzUyN2FlYmU1YTIwNTA2N2MiLCJ1c2VySWQiOiIxMTI2ODg3MDA2In0=</vt:lpwstr>
  </property>
</Properties>
</file>