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8BA5D">
      <w:pPr>
        <w:pStyle w:val="13"/>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505C6E43">
      <w:pPr>
        <w:pStyle w:val="13"/>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项目名称：血凝分析仪    </w:t>
      </w:r>
    </w:p>
    <w:p w14:paraId="0E253CC5">
      <w:pPr>
        <w:pStyle w:val="13"/>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项目预算：15万元   </w:t>
      </w:r>
    </w:p>
    <w:p w14:paraId="3EF1FC31">
      <w:pPr>
        <w:pStyle w:val="13"/>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w:t>
      </w:r>
    </w:p>
    <w:p w14:paraId="1015FB41">
      <w:pPr>
        <w:pStyle w:val="13"/>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资金来源：单位资金</w:t>
      </w:r>
    </w:p>
    <w:p w14:paraId="37944D7F">
      <w:pPr>
        <w:pStyle w:val="13"/>
        <w:widowControl/>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w:t>
      </w:r>
    </w:p>
    <w:p w14:paraId="1E04A4D7">
      <w:pPr>
        <w:pStyle w:val="13"/>
        <w:widowControl/>
        <w:numPr>
          <w:ilvl w:val="0"/>
          <w:numId w:val="1"/>
        </w:numPr>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49D11113">
      <w:pPr>
        <w:pStyle w:val="13"/>
        <w:widowControl/>
        <w:numPr>
          <w:ilvl w:val="0"/>
          <w:numId w:val="3"/>
        </w:num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w:t>
      </w:r>
    </w:p>
    <w:p w14:paraId="2B54F06F">
      <w:pPr>
        <w:pStyle w:val="13"/>
        <w:widowControl/>
        <w:spacing w:line="360" w:lineRule="auto"/>
        <w:ind w:left="284"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满足重症医学科抢救患者应用ECMO、CRRT、IABP等体外生命设备支持治疗时对凝血功能实时监测的临床需求，拟申购全自动床旁血凝分析仪。该设备可精准指导抗凝药物剂量调控，降低出血及血栓风险，提高救治效率与安全性。同时具备多项凝血指标检测功能，拟采购的全自动床旁血凝分析仪，具备以下功能:1.活性凝血时间试剂(ACT+和 ACT-LR)、激活的部分凝血活酶时间试剂(APTT)、凝血酶原试剂(PT)通用凝结鉴别试验测定，具备精准度高、稳定性好检测快速、操作维护保养简单方便、经济耐用等特点。2.支持全血样本检测，操作简便，结果出具时间短，适用于床旁即刻评估。（二）项目属性：</w:t>
      </w:r>
    </w:p>
    <w:p w14:paraId="38EECAAB">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C4F3AB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5820C799">
      <w:pPr>
        <w:numPr>
          <w:ilvl w:val="0"/>
          <w:numId w:val="5"/>
        </w:numPr>
        <w:spacing w:line="360" w:lineRule="auto"/>
        <w:rPr>
          <w:rFonts w:hint="eastAsia"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 w:hAnsi="仿宋" w:eastAsia="仿宋"/>
          <w:sz w:val="28"/>
          <w:szCs w:val="28"/>
          <w:u w:val="single"/>
        </w:rPr>
        <w:t>按照办法规定预留采购份额无法确保充分供应、充分竞争，或者存在可能影响政府采购目标实现的情形。</w:t>
      </w:r>
    </w:p>
    <w:p w14:paraId="62B08DCB">
      <w:pPr>
        <w:numPr>
          <w:ilvl w:val="0"/>
          <w:numId w:val="6"/>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□是    ☑否</w:t>
      </w:r>
    </w:p>
    <w:p w14:paraId="4B6077A2">
      <w:pPr>
        <w:spacing w:line="360" w:lineRule="auto"/>
        <w:rPr>
          <w:rFonts w:hint="eastAsia"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19D5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5030331F">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0ABFA8FA">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5B7724EF">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6E6C4208">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4CE829F8">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总预算（元）</w:t>
            </w:r>
          </w:p>
        </w:tc>
        <w:tc>
          <w:tcPr>
            <w:tcW w:w="2065" w:type="dxa"/>
            <w:shd w:val="clear" w:color="auto" w:fill="FFFFFF"/>
            <w:tcMar>
              <w:top w:w="0" w:type="dxa"/>
              <w:right w:w="0" w:type="dxa"/>
            </w:tcMar>
            <w:vAlign w:val="center"/>
          </w:tcPr>
          <w:p w14:paraId="719C7908">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      （货物类提供）</w:t>
            </w:r>
          </w:p>
        </w:tc>
      </w:tr>
      <w:tr w14:paraId="40EB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7022FCDE">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kern w:val="0"/>
                <w:sz w:val="28"/>
                <w:szCs w:val="28"/>
              </w:rPr>
              <w:t>血凝分析仪</w:t>
            </w:r>
            <w:r>
              <w:rPr>
                <w:rFonts w:hint="eastAsia" w:ascii="仿宋_GB2312" w:hAnsi="仿宋_GB2312" w:eastAsia="仿宋_GB2312" w:cs="仿宋_GB2312"/>
                <w:color w:val="5E6B87"/>
                <w:kern w:val="0"/>
                <w:sz w:val="28"/>
                <w:szCs w:val="28"/>
              </w:rPr>
              <w:t xml:space="preserve">   </w:t>
            </w:r>
          </w:p>
        </w:tc>
        <w:tc>
          <w:tcPr>
            <w:tcW w:w="2331" w:type="dxa"/>
            <w:shd w:val="clear" w:color="auto" w:fill="FFFFFF"/>
            <w:tcMar>
              <w:top w:w="0" w:type="dxa"/>
              <w:right w:w="0" w:type="dxa"/>
            </w:tcMar>
            <w:vAlign w:val="center"/>
          </w:tcPr>
          <w:p w14:paraId="192DE66F">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kern w:val="0"/>
                <w:sz w:val="28"/>
                <w:szCs w:val="28"/>
              </w:rPr>
              <w:t>A02321900、临床检验设备</w:t>
            </w:r>
          </w:p>
        </w:tc>
        <w:tc>
          <w:tcPr>
            <w:tcW w:w="1601" w:type="dxa"/>
            <w:shd w:val="clear" w:color="auto" w:fill="FFFFFF"/>
            <w:tcMar>
              <w:top w:w="0" w:type="dxa"/>
              <w:right w:w="0" w:type="dxa"/>
            </w:tcMar>
            <w:vAlign w:val="center"/>
          </w:tcPr>
          <w:p w14:paraId="3A1BCF05">
            <w:pPr>
              <w:autoSpaceDE w:val="0"/>
              <w:autoSpaceDN w:val="0"/>
              <w:adjustRightIn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台  </w:t>
            </w:r>
          </w:p>
        </w:tc>
        <w:tc>
          <w:tcPr>
            <w:tcW w:w="968" w:type="dxa"/>
            <w:shd w:val="clear" w:color="auto" w:fill="FFFFFF"/>
            <w:vAlign w:val="center"/>
          </w:tcPr>
          <w:p w14:paraId="07A36ABB">
            <w:pPr>
              <w:autoSpaceDE w:val="0"/>
              <w:autoSpaceDN w:val="0"/>
              <w:adjustRightIn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  </w:t>
            </w:r>
          </w:p>
        </w:tc>
        <w:tc>
          <w:tcPr>
            <w:tcW w:w="1200" w:type="dxa"/>
            <w:shd w:val="clear" w:color="auto" w:fill="FFFFFF"/>
            <w:vAlign w:val="center"/>
          </w:tcPr>
          <w:p w14:paraId="52A99E45">
            <w:pPr>
              <w:autoSpaceDE w:val="0"/>
              <w:autoSpaceDN w:val="0"/>
              <w:adjustRightIn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150000 </w:t>
            </w:r>
          </w:p>
        </w:tc>
        <w:tc>
          <w:tcPr>
            <w:tcW w:w="2065" w:type="dxa"/>
            <w:shd w:val="clear" w:color="auto" w:fill="FFFFFF"/>
            <w:tcMar>
              <w:top w:w="0" w:type="dxa"/>
              <w:right w:w="0" w:type="dxa"/>
            </w:tcMar>
            <w:vAlign w:val="center"/>
          </w:tcPr>
          <w:p w14:paraId="1C6CD723">
            <w:pPr>
              <w:autoSpaceDE w:val="0"/>
              <w:autoSpaceDN w:val="0"/>
              <w:adjustRightIn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不限</w:t>
            </w:r>
            <w:r>
              <w:rPr>
                <w:rFonts w:hint="eastAsia" w:ascii="仿宋_GB2312" w:hAnsi="仿宋_GB2312" w:eastAsia="仿宋_GB2312" w:cs="仿宋_GB2312"/>
                <w:kern w:val="0"/>
                <w:sz w:val="28"/>
                <w:szCs w:val="28"/>
              </w:rPr>
              <w:t xml:space="preserve"> </w:t>
            </w:r>
          </w:p>
        </w:tc>
      </w:tr>
    </w:tbl>
    <w:p w14:paraId="3C5BE86F">
      <w:pPr>
        <w:rPr>
          <w:rFonts w:hint="eastAsia"/>
          <w:b/>
          <w:bCs/>
        </w:rPr>
      </w:pPr>
      <w:r>
        <w:rPr>
          <w:rFonts w:hint="eastAsia" w:ascii="仿宋_GB2312" w:hAnsi="仿宋_GB2312" w:eastAsia="仿宋_GB2312" w:cs="仿宋_GB2312"/>
          <w:b/>
          <w:bCs/>
          <w:sz w:val="28"/>
          <w:szCs w:val="28"/>
        </w:rPr>
        <w:t>（五）按照规定及项目情况设置投标供应商资格要求：</w:t>
      </w:r>
    </w:p>
    <w:p w14:paraId="25BCD1D5">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2118205C">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5B817A31">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57A4FC32">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1E5143EC">
      <w:pPr>
        <w:ind w:firstLine="480" w:firstLineChars="200"/>
        <w:rPr>
          <w:rFonts w:hint="eastAsia"/>
        </w:rPr>
      </w:pPr>
      <w:r>
        <w:rPr>
          <w:rFonts w:hint="eastAsia" w:ascii="仿宋_GB2312" w:hAnsi="仿宋_GB2312" w:eastAsia="仿宋_GB2312" w:cs="仿宋_GB2312"/>
          <w:color w:val="000000" w:themeColor="text1"/>
          <w:sz w:val="24"/>
          <w:szCs w:val="24"/>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BDC27DA">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（六）技术、服务要求与商务要求：</w:t>
      </w:r>
    </w:p>
    <w:p w14:paraId="382FC498">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技术要求：（包括性能、材料、结构、外观、安全或服务内容和服务标准）</w:t>
      </w:r>
    </w:p>
    <w:tbl>
      <w:tblPr>
        <w:tblStyle w:val="7"/>
        <w:tblW w:w="9030" w:type="dxa"/>
        <w:tblInd w:w="93" w:type="dxa"/>
        <w:tblLayout w:type="autofit"/>
        <w:tblCellMar>
          <w:top w:w="0" w:type="dxa"/>
          <w:left w:w="108" w:type="dxa"/>
          <w:bottom w:w="0" w:type="dxa"/>
          <w:right w:w="108" w:type="dxa"/>
        </w:tblCellMar>
      </w:tblPr>
      <w:tblGrid>
        <w:gridCol w:w="825"/>
        <w:gridCol w:w="8205"/>
      </w:tblGrid>
      <w:tr w14:paraId="18E3AC16">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35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序号</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D8E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技术要求</w:t>
            </w:r>
          </w:p>
        </w:tc>
      </w:tr>
      <w:tr w14:paraId="7C2F2BA5">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31F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bookmarkStart w:id="0" w:name="_GoBack"/>
            <w:r>
              <w:rPr>
                <w:rFonts w:hint="eastAsia" w:ascii="宋体" w:hAnsi="宋体" w:eastAsia="宋体" w:cs="宋体"/>
                <w:color w:val="000000"/>
                <w:kern w:val="0"/>
                <w:sz w:val="22"/>
                <w:lang w:bidi="ar"/>
              </w:rPr>
              <w:t>▲</w:t>
            </w:r>
            <w:bookmarkEnd w:id="0"/>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CFC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手持式、电池供电，适用于床旁检测（POCT），支持新鲜全血或柠檬酸盐抗凝全血检测。</w:t>
            </w:r>
          </w:p>
        </w:tc>
      </w:tr>
      <w:tr w14:paraId="1FEF652B">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0E7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B3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采用真实凝固终点法。</w:t>
            </w:r>
          </w:p>
        </w:tc>
      </w:tr>
      <w:tr w14:paraId="247C0F61">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197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5C2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检测时间＜5分钟，样本用量＜50μL。</w:t>
            </w:r>
          </w:p>
        </w:tc>
      </w:tr>
      <w:tr w14:paraId="5ADEB96A">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60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E91">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可报告范围：0秒至1000秒。</w:t>
            </w:r>
          </w:p>
        </w:tc>
      </w:tr>
      <w:tr w14:paraId="19D4D87E">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7E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4A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加热至孵育温度时间＜90秒。</w:t>
            </w:r>
          </w:p>
        </w:tc>
      </w:tr>
      <w:tr w14:paraId="6FE34D71">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7C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E0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ACT检测：低、中、高浓度（1.0-6.0u/mL，0-2.5u/mL）。</w:t>
            </w:r>
          </w:p>
        </w:tc>
      </w:tr>
      <w:tr w14:paraId="069E8E23">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05C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3E5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精准度误差≤±5%，重复性CV≤3%。</w:t>
            </w:r>
          </w:p>
        </w:tc>
      </w:tr>
      <w:tr w14:paraId="555FE272">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1F9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6706">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满电操作时间≥2小时，支持≥40次检测循环及≥15次质控循环。</w:t>
            </w:r>
          </w:p>
        </w:tc>
      </w:tr>
      <w:tr w14:paraId="345E3D94">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32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7BA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常温储存消耗品有效期≥1年</w:t>
            </w:r>
            <w:r>
              <w:rPr>
                <w:rFonts w:hint="eastAsia"/>
              </w:rPr>
              <w:t>。</w:t>
            </w:r>
          </w:p>
        </w:tc>
      </w:tr>
      <w:tr w14:paraId="38DA21D4">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50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B44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检测项目：活性凝血时间（ACT）、凝血酶原时间（PT/INR）和活化部分凝血活酶时间（APTT）。</w:t>
            </w:r>
          </w:p>
        </w:tc>
      </w:tr>
      <w:tr w14:paraId="2BEE535D">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E7E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0877">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支持全血类型：动脉血、静脉血、末梢血。</w:t>
            </w:r>
          </w:p>
        </w:tc>
      </w:tr>
      <w:tr w14:paraId="14FF26ED">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B8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5CC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单通道试验仓设计，无需多通道切换。</w:t>
            </w:r>
          </w:p>
        </w:tc>
      </w:tr>
      <w:tr w14:paraId="518ADB73">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951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2CE4">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存储容量：≥600条患者结果及质控数据，支持日期、时间、操作者ID标记。</w:t>
            </w:r>
          </w:p>
        </w:tc>
      </w:tr>
      <w:tr w14:paraId="37D28ED0">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37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25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接口配置：以太网、RS-232、激光条码阅读器，免费对接医院LIS/HIS系统。</w:t>
            </w:r>
          </w:p>
        </w:tc>
      </w:tr>
      <w:tr w14:paraId="77082E5D">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E6E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C3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打印功能：直接输出检测报告。</w:t>
            </w:r>
          </w:p>
        </w:tc>
      </w:tr>
      <w:tr w14:paraId="6DE3ADD6">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80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4D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支持快速充电及待机模式。</w:t>
            </w:r>
          </w:p>
        </w:tc>
      </w:tr>
    </w:tbl>
    <w:p w14:paraId="3F582248">
      <w:pPr>
        <w:jc w:val="left"/>
        <w:rPr>
          <w:rFonts w:hint="eastAsia" w:ascii="仿宋_GB2312" w:hAnsi="仿宋_GB2312" w:eastAsia="仿宋_GB2312" w:cs="仿宋_GB2312"/>
          <w:sz w:val="28"/>
          <w:szCs w:val="28"/>
        </w:rPr>
      </w:pPr>
    </w:p>
    <w:p w14:paraId="104F5933">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配置清单</w:t>
      </w:r>
    </w:p>
    <w:tbl>
      <w:tblPr>
        <w:tblStyle w:val="7"/>
        <w:tblW w:w="7395" w:type="dxa"/>
        <w:tblInd w:w="93" w:type="dxa"/>
        <w:tblLayout w:type="fixed"/>
        <w:tblCellMar>
          <w:top w:w="0" w:type="dxa"/>
          <w:left w:w="108" w:type="dxa"/>
          <w:bottom w:w="0" w:type="dxa"/>
          <w:right w:w="108" w:type="dxa"/>
        </w:tblCellMar>
      </w:tblPr>
      <w:tblGrid>
        <w:gridCol w:w="825"/>
        <w:gridCol w:w="6570"/>
      </w:tblGrid>
      <w:tr w14:paraId="16123DF3">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38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序号</w:t>
            </w:r>
          </w:p>
        </w:tc>
        <w:tc>
          <w:tcPr>
            <w:tcW w:w="6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6D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配置名称</w:t>
            </w:r>
          </w:p>
        </w:tc>
      </w:tr>
      <w:tr w14:paraId="151A9325">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A2F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6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B52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主机1台</w:t>
            </w:r>
          </w:p>
        </w:tc>
      </w:tr>
      <w:tr w14:paraId="086B1D02">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915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6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D1D1">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数据管理软件CD 1张</w:t>
            </w:r>
          </w:p>
        </w:tc>
      </w:tr>
      <w:tr w14:paraId="5E254F84">
        <w:tblPrEx>
          <w:tblCellMar>
            <w:top w:w="0" w:type="dxa"/>
            <w:left w:w="108" w:type="dxa"/>
            <w:bottom w:w="0" w:type="dxa"/>
            <w:right w:w="108" w:type="dxa"/>
          </w:tblCellMar>
        </w:tblPrEx>
        <w:trPr>
          <w:trHeight w:val="5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3D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6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229A">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配件包1套</w:t>
            </w:r>
          </w:p>
        </w:tc>
      </w:tr>
    </w:tbl>
    <w:p w14:paraId="21D6F473">
      <w:pPr>
        <w:jc w:val="left"/>
        <w:rPr>
          <w:rFonts w:hint="eastAsia" w:ascii="仿宋_GB2312" w:hAnsi="仿宋_GB2312" w:eastAsia="仿宋_GB2312" w:cs="仿宋_GB2312"/>
          <w:sz w:val="28"/>
          <w:szCs w:val="28"/>
        </w:rPr>
      </w:pPr>
    </w:p>
    <w:p w14:paraId="759D3BD4">
      <w:pPr>
        <w:jc w:val="left"/>
        <w:rPr>
          <w:rFonts w:hint="eastAsia" w:ascii="仿宋_GB2312" w:hAnsi="仿宋_GB2312" w:eastAsia="仿宋_GB2312" w:cs="仿宋_GB2312"/>
          <w:sz w:val="28"/>
          <w:szCs w:val="28"/>
        </w:rPr>
      </w:pPr>
    </w:p>
    <w:p w14:paraId="68B95E7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配套耗材：</w:t>
      </w:r>
    </w:p>
    <w:p w14:paraId="00279DCF">
      <w:pPr>
        <w:jc w:val="left"/>
        <w:rPr>
          <w:rFonts w:hint="eastAsia" w:ascii="仿宋_GB2312" w:hAnsi="仿宋_GB2312" w:eastAsia="仿宋_GB2312" w:cs="仿宋_GB2312"/>
          <w:sz w:val="28"/>
          <w:szCs w:val="28"/>
        </w:rPr>
      </w:pPr>
      <w:r>
        <w:rPr>
          <w:rFonts w:ascii="宋体" w:hAnsi="宋体" w:eastAsia="宋体" w:cs="宋体"/>
          <w:sz w:val="24"/>
          <w:szCs w:val="24"/>
        </w:rPr>
        <w:t>ACT试剂</w:t>
      </w:r>
      <w:r>
        <w:rPr>
          <w:rFonts w:hint="eastAsia" w:ascii="宋体" w:hAnsi="宋体" w:eastAsia="宋体" w:cs="宋体"/>
          <w:sz w:val="24"/>
          <w:szCs w:val="24"/>
        </w:rPr>
        <w:t>，最高限价：</w:t>
      </w:r>
      <w:r>
        <w:rPr>
          <w:rFonts w:ascii="宋体" w:hAnsi="宋体" w:eastAsia="宋体" w:cs="宋体"/>
          <w:sz w:val="24"/>
          <w:szCs w:val="24"/>
        </w:rPr>
        <w:t>49元/支</w:t>
      </w:r>
      <w:r>
        <w:rPr>
          <w:rFonts w:ascii="宋体" w:hAnsi="宋体" w:eastAsia="宋体" w:cs="宋体"/>
          <w:sz w:val="24"/>
          <w:szCs w:val="24"/>
        </w:rPr>
        <w:br w:type="textWrapping"/>
      </w:r>
      <w:r>
        <w:rPr>
          <w:rFonts w:ascii="宋体" w:hAnsi="宋体" w:eastAsia="宋体" w:cs="宋体"/>
          <w:sz w:val="24"/>
          <w:szCs w:val="24"/>
        </w:rPr>
        <w:t>APTT试剂</w:t>
      </w:r>
      <w:r>
        <w:rPr>
          <w:rFonts w:hint="eastAsia" w:ascii="宋体" w:hAnsi="宋体" w:eastAsia="宋体" w:cs="宋体"/>
          <w:sz w:val="24"/>
          <w:szCs w:val="24"/>
        </w:rPr>
        <w:t>，最高限价：</w:t>
      </w:r>
      <w:r>
        <w:rPr>
          <w:rFonts w:ascii="宋体" w:hAnsi="宋体" w:eastAsia="宋体" w:cs="宋体"/>
          <w:sz w:val="24"/>
          <w:szCs w:val="24"/>
        </w:rPr>
        <w:t>49元/支</w:t>
      </w:r>
      <w:r>
        <w:rPr>
          <w:rFonts w:ascii="宋体" w:hAnsi="宋体" w:eastAsia="宋体" w:cs="宋体"/>
          <w:sz w:val="24"/>
          <w:szCs w:val="24"/>
        </w:rPr>
        <w:br w:type="textWrapping"/>
      </w:r>
      <w:r>
        <w:rPr>
          <w:rFonts w:ascii="宋体" w:hAnsi="宋体" w:eastAsia="宋体" w:cs="宋体"/>
          <w:sz w:val="24"/>
          <w:szCs w:val="24"/>
        </w:rPr>
        <w:t>PT试剂</w:t>
      </w:r>
      <w:r>
        <w:rPr>
          <w:rFonts w:hint="eastAsia" w:ascii="宋体" w:hAnsi="宋体" w:eastAsia="宋体" w:cs="宋体"/>
          <w:sz w:val="24"/>
          <w:szCs w:val="24"/>
        </w:rPr>
        <w:t>，最高限价：</w:t>
      </w:r>
      <w:r>
        <w:rPr>
          <w:rFonts w:ascii="宋体" w:hAnsi="宋体" w:eastAsia="宋体" w:cs="宋体"/>
          <w:sz w:val="24"/>
          <w:szCs w:val="24"/>
        </w:rPr>
        <w:t>49元/支</w:t>
      </w:r>
      <w:r>
        <w:rPr>
          <w:rFonts w:hint="eastAsia" w:ascii="仿宋_GB2312" w:hAnsi="仿宋_GB2312" w:eastAsia="仿宋_GB2312" w:cs="仿宋_GB2312"/>
          <w:sz w:val="28"/>
          <w:szCs w:val="28"/>
        </w:rPr>
        <w:t>。</w:t>
      </w:r>
    </w:p>
    <w:p w14:paraId="657D70B2">
      <w:pPr>
        <w:numPr>
          <w:ilvl w:val="0"/>
          <w:numId w:val="7"/>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7"/>
        <w:tblW w:w="10365" w:type="dxa"/>
        <w:jc w:val="center"/>
        <w:tblLayout w:type="autofit"/>
        <w:tblCellMar>
          <w:top w:w="0" w:type="dxa"/>
          <w:left w:w="108" w:type="dxa"/>
          <w:bottom w:w="0" w:type="dxa"/>
          <w:right w:w="108" w:type="dxa"/>
        </w:tblCellMar>
      </w:tblPr>
      <w:tblGrid>
        <w:gridCol w:w="525"/>
        <w:gridCol w:w="735"/>
        <w:gridCol w:w="1020"/>
        <w:gridCol w:w="8085"/>
      </w:tblGrid>
      <w:tr w14:paraId="7B558EA8">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3705">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96CF">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858">
            <w:pPr>
              <w:widowControl/>
              <w:jc w:val="center"/>
              <w:textAlignment w:val="center"/>
              <w:rPr>
                <w:rFonts w:hint="eastAsia" w:ascii="仿宋_GB2312" w:hAnsi="宋体" w:eastAsia="仿宋_GB2312" w:cs="仿宋_GB2312"/>
                <w:b/>
                <w:bCs/>
                <w:color w:val="000000"/>
                <w:sz w:val="28"/>
                <w:szCs w:val="28"/>
              </w:rPr>
            </w:pPr>
            <w:r>
              <w:rPr>
                <w:rFonts w:hint="eastAsia" w:ascii="微软雅黑" w:hAnsi="微软雅黑" w:eastAsia="微软雅黑" w:cs="微软雅黑"/>
                <w:color w:val="000000"/>
                <w:kern w:val="0"/>
                <w:sz w:val="28"/>
                <w:szCs w:val="28"/>
                <w:lang w:bidi="ar"/>
              </w:rPr>
              <w:t>★</w:t>
            </w:r>
            <w:r>
              <w:rPr>
                <w:rFonts w:hint="eastAsia" w:ascii="仿宋_GB2312" w:hAnsi="宋体" w:eastAsia="仿宋_GB2312" w:cs="仿宋_GB2312"/>
                <w:b/>
                <w:bCs/>
                <w:color w:val="000000"/>
                <w:kern w:val="0"/>
                <w:sz w:val="28"/>
                <w:szCs w:val="28"/>
                <w:lang w:bidi="ar"/>
              </w:rPr>
              <w:t>商务要求</w:t>
            </w:r>
          </w:p>
        </w:tc>
      </w:tr>
      <w:tr w14:paraId="22132DEB">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36FDB">
            <w:pPr>
              <w:widowControl/>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（一）免费保修期内售后服务要求</w:t>
            </w:r>
          </w:p>
        </w:tc>
      </w:tr>
      <w:tr w14:paraId="2BC4E0AA">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22CBB">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1BEF4">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DD4F">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6FD">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设备原厂（含附件）免费保修期为</w:t>
            </w:r>
            <w:r>
              <w:rPr>
                <w:rStyle w:val="15"/>
                <w:rFonts w:hint="default" w:hAnsi="宋体"/>
                <w:lang w:bidi="ar"/>
              </w:rPr>
              <w:t>5</w:t>
            </w:r>
            <w:r>
              <w:rPr>
                <w:rStyle w:val="16"/>
                <w:rFonts w:hint="default" w:hAnsi="宋体"/>
                <w:lang w:bidi="ar"/>
              </w:rPr>
              <w:t>年，自验收报告签字之日开始计算。</w:t>
            </w:r>
          </w:p>
        </w:tc>
      </w:tr>
      <w:tr w14:paraId="479A0B79">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0348">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ACFA3">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329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6B58">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F5BA197">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2C45">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7FB3">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A31C">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442">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7D7F7B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3EB4">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0C1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B32E">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FA7F">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投标人应按其投标文件中的承诺，进行其他售后服务工作。</w:t>
            </w:r>
          </w:p>
        </w:tc>
      </w:tr>
      <w:tr w14:paraId="3190ADBE">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D3268">
            <w:pPr>
              <w:widowControl/>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（二）免费保修期外售后服务要求</w:t>
            </w:r>
          </w:p>
        </w:tc>
      </w:tr>
      <w:tr w14:paraId="44B893D4">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A7AA">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39D">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E5D">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E982">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4F0D513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B85D5">
            <w:pPr>
              <w:widowControl/>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（三）其他商务要求</w:t>
            </w:r>
          </w:p>
        </w:tc>
      </w:tr>
      <w:tr w14:paraId="2F4B9593">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C6390">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D620A">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5067">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960C">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合同签订或约定之日起</w:t>
            </w:r>
            <w:r>
              <w:rPr>
                <w:rStyle w:val="15"/>
                <w:rFonts w:hint="default" w:hAnsi="宋体"/>
                <w:lang w:bidi="ar"/>
              </w:rPr>
              <w:t>30</w:t>
            </w:r>
            <w:r>
              <w:rPr>
                <w:rStyle w:val="16"/>
                <w:rFonts w:hint="default" w:hAnsi="宋体"/>
                <w:lang w:bidi="ar"/>
              </w:rPr>
              <w:t>日历天内交货。</w:t>
            </w:r>
          </w:p>
        </w:tc>
      </w:tr>
      <w:tr w14:paraId="1C91722A">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CB4E">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0470">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89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DDD">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地点：采购人指定地点。</w:t>
            </w:r>
          </w:p>
        </w:tc>
      </w:tr>
      <w:tr w14:paraId="459CB3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4105">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AA33">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23AF">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D28">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投标人必须在交货之日起</w:t>
            </w:r>
            <w:r>
              <w:rPr>
                <w:rStyle w:val="15"/>
                <w:rFonts w:hint="default" w:hAnsi="宋体"/>
                <w:b w:val="0"/>
                <w:bCs w:val="0"/>
                <w:lang w:bidi="ar"/>
              </w:rPr>
              <w:t>60</w:t>
            </w:r>
            <w:r>
              <w:rPr>
                <w:rStyle w:val="16"/>
                <w:rFonts w:hint="default" w:hAnsi="宋体"/>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1E3D0D89">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1E5F">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1208">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6A1D">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3EB1">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057ECA51">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346DA">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8641">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ECB">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EDDD">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投标人货物经过双方检验认可后，签署验收报告，产品保修期自验收合格之日起算，由投标人提供产品保修文件。</w:t>
            </w:r>
          </w:p>
        </w:tc>
      </w:tr>
      <w:tr w14:paraId="092D7379">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99D6">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36A8">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48DA">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BA7">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当满足以下条件时，采购人才向投标人签发货物验收报告：投标人已按照合同规定提供了全部产品及完整的技术资料。货物符合招标文件技术要求，性能满足要求。国产货物必须具备产品合格证。</w:t>
            </w:r>
          </w:p>
        </w:tc>
      </w:tr>
      <w:tr w14:paraId="5FBD649C">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63D0">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38C5">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BE0D">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8C29">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凡属于国家规定强制检测的设备项目，都必须具备计量质检部门的检测合格证。</w:t>
            </w:r>
          </w:p>
        </w:tc>
      </w:tr>
      <w:tr w14:paraId="311BD870">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D618">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909C">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48CB">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99DF">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验收过程中，如采购人拟对货物质量进行实质验收时，有权邀请第三方检测机构对货物进行检测或测试，因此所需的费用由投标人承担。</w:t>
            </w:r>
          </w:p>
        </w:tc>
      </w:tr>
      <w:tr w14:paraId="1F024BCA">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CB45">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28EA">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C1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0A4">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664DC1C5">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7609">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FB8F">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0C5">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2A8">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在验收过程中，中标人需出具与设备制造商签订的与原合同条款一致的维保合同或原厂维保承诺函。</w:t>
            </w:r>
          </w:p>
        </w:tc>
      </w:tr>
      <w:tr w14:paraId="0D52CB01">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47151">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EF5E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AB8">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BAB">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07E4DB6F">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938FB">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766E">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0E48">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01F">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670FA7A8">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0947">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8810">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F03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AB0">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757E1CA">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431E">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E916">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D5C2">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C76">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649D9812">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EAB2">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F3ED">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763C">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26F">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本次标的若包含软件服务，需本地化部署，并严格遵照《信息安全法》等相关法律法规，符合网络安全管理相关规定，所有数据未经采购方允许，不得向第三方私自泄漏。</w:t>
            </w:r>
          </w:p>
        </w:tc>
      </w:tr>
      <w:tr w14:paraId="056EFFDD">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D92CA">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3B945">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B15">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FCE2">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合同生效后，货到指定地点，安装验收合格后，采购人收到投标人提供的相应金额合法有效发票后，支付合同总金额的100%。</w:t>
            </w:r>
          </w:p>
        </w:tc>
      </w:tr>
      <w:tr w14:paraId="4E91323D">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6413">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03CF">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FBD">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667A">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2EFD5BC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AF737">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133A">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C87B">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AF85">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若本项目财政下达的资金数额不足以支付合同约定的比例金额，采购人将按照实际财政下达的资金数额支付合同款，不足部分将待新的项目资金下达后进行支付。</w:t>
            </w:r>
          </w:p>
        </w:tc>
      </w:tr>
      <w:tr w14:paraId="724C8E20">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14530">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0B250">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CCAF">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AED4">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82A1120">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5577">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0C40">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B47">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22A8">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由于投标人的原因未能按时交货的，每迟一天向采购人支付合同总额的0.5%违约金，如超过交货期10天，采购人有权终止合同并通过法律程序对投标人进行索赔。</w:t>
            </w:r>
          </w:p>
        </w:tc>
      </w:tr>
      <w:tr w14:paraId="20CD1109">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EE3E">
            <w:pPr>
              <w:jc w:val="center"/>
              <w:rPr>
                <w:rFonts w:hint="eastAsia"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208C">
            <w:pPr>
              <w:jc w:val="center"/>
              <w:rPr>
                <w:rFonts w:hint="eastAsia"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85A4">
            <w:pPr>
              <w:widowControl/>
              <w:jc w:val="center"/>
              <w:textAlignment w:val="center"/>
              <w:rPr>
                <w:rFonts w:hint="eastAsia"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415">
            <w:pPr>
              <w:widowControl/>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494DE683">
      <w:pPr>
        <w:pStyle w:val="2"/>
        <w:spacing w:before="0" w:after="0" w:line="240" w:lineRule="auto"/>
        <w:rPr>
          <w:rFonts w:hint="eastAsia"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1C8E1AB6">
      <w:pPr>
        <w:adjustRightInd w:val="0"/>
        <w:snapToGrid w:val="0"/>
        <w:jc w:val="left"/>
        <w:rPr>
          <w:rFonts w:hint="eastAsia" w:ascii="仿宋_GB2312" w:hAnsi="仿宋_GB2312" w:eastAsia="仿宋_GB2312" w:cs="仿宋_GB2312"/>
          <w:color w:val="FF0000"/>
          <w:sz w:val="24"/>
          <w:szCs w:val="24"/>
        </w:rPr>
      </w:pPr>
      <w:r>
        <w:rPr>
          <w:rFonts w:hint="eastAsia" w:ascii="仿宋" w:hAnsi="仿宋" w:eastAsia="仿宋"/>
          <w:sz w:val="28"/>
          <w:szCs w:val="28"/>
        </w:rPr>
        <w:t>1.评标方法：综合评分法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722087AD">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9F6FECE4"/>
    <w:multiLevelType w:val="singleLevel"/>
    <w:tmpl w:val="9F6FECE4"/>
    <w:lvl w:ilvl="0" w:tentative="0">
      <w:start w:val="1"/>
      <w:numFmt w:val="chineseCounting"/>
      <w:suff w:val="nothing"/>
      <w:lvlText w:val="（%1）"/>
      <w:lvlJc w:val="left"/>
      <w:rPr>
        <w:rFonts w:hint="eastAsia"/>
      </w:r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MDJmYmFjY2M2OTFjMTIxNzk0ODhlZjcyOGI2MjUifQ=="/>
  </w:docVars>
  <w:rsids>
    <w:rsidRoot w:val="00681410"/>
    <w:rsid w:val="0002072A"/>
    <w:rsid w:val="00061E07"/>
    <w:rsid w:val="00160CAF"/>
    <w:rsid w:val="00162818"/>
    <w:rsid w:val="00216720"/>
    <w:rsid w:val="002277A4"/>
    <w:rsid w:val="002401AE"/>
    <w:rsid w:val="002740EC"/>
    <w:rsid w:val="004007E5"/>
    <w:rsid w:val="00422F16"/>
    <w:rsid w:val="004C243E"/>
    <w:rsid w:val="00503932"/>
    <w:rsid w:val="005F6D58"/>
    <w:rsid w:val="00681410"/>
    <w:rsid w:val="006A5F3D"/>
    <w:rsid w:val="006D7AE6"/>
    <w:rsid w:val="006E15EC"/>
    <w:rsid w:val="0078244A"/>
    <w:rsid w:val="008914B7"/>
    <w:rsid w:val="008A534C"/>
    <w:rsid w:val="00B119D2"/>
    <w:rsid w:val="00B449F7"/>
    <w:rsid w:val="00B97AED"/>
    <w:rsid w:val="00C9106E"/>
    <w:rsid w:val="00DC4096"/>
    <w:rsid w:val="00F0151F"/>
    <w:rsid w:val="00F43941"/>
    <w:rsid w:val="014D28C9"/>
    <w:rsid w:val="04B52C5F"/>
    <w:rsid w:val="092B34AD"/>
    <w:rsid w:val="0A526D39"/>
    <w:rsid w:val="0C6A7D1D"/>
    <w:rsid w:val="0D532C76"/>
    <w:rsid w:val="115A0E16"/>
    <w:rsid w:val="11D72467"/>
    <w:rsid w:val="15A2090F"/>
    <w:rsid w:val="1C4A5F2B"/>
    <w:rsid w:val="1D3E161D"/>
    <w:rsid w:val="23C938DA"/>
    <w:rsid w:val="24042E63"/>
    <w:rsid w:val="268A3AF4"/>
    <w:rsid w:val="29623380"/>
    <w:rsid w:val="2B033E75"/>
    <w:rsid w:val="2CBA4A07"/>
    <w:rsid w:val="2F705F4D"/>
    <w:rsid w:val="2FFC57B7"/>
    <w:rsid w:val="312A0667"/>
    <w:rsid w:val="31BC3D81"/>
    <w:rsid w:val="345D1B1D"/>
    <w:rsid w:val="35102C97"/>
    <w:rsid w:val="386B2CF7"/>
    <w:rsid w:val="3876471E"/>
    <w:rsid w:val="3BE455FD"/>
    <w:rsid w:val="3CB60D47"/>
    <w:rsid w:val="3DA24B99"/>
    <w:rsid w:val="3F7439F7"/>
    <w:rsid w:val="3F786788"/>
    <w:rsid w:val="3FB6AD20"/>
    <w:rsid w:val="418F2299"/>
    <w:rsid w:val="47946129"/>
    <w:rsid w:val="4B754B37"/>
    <w:rsid w:val="4BE62CCB"/>
    <w:rsid w:val="4C4243A5"/>
    <w:rsid w:val="4F624D5E"/>
    <w:rsid w:val="51D9166A"/>
    <w:rsid w:val="539D45B7"/>
    <w:rsid w:val="59266DFD"/>
    <w:rsid w:val="5EC136DE"/>
    <w:rsid w:val="61A96E48"/>
    <w:rsid w:val="6C70102E"/>
    <w:rsid w:val="6D282CEC"/>
    <w:rsid w:val="6E0472B5"/>
    <w:rsid w:val="715278CE"/>
    <w:rsid w:val="74974D88"/>
    <w:rsid w:val="74B15375"/>
    <w:rsid w:val="75AE135E"/>
    <w:rsid w:val="79194C3C"/>
    <w:rsid w:val="7B2F2690"/>
    <w:rsid w:val="7CC5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left="704" w:hanging="420"/>
    </w:pPr>
    <w:rPr>
      <w:rFonts w:ascii="Times New Roman" w:hAnsi="Times New Roman" w:eastAsia="黑体" w:cs="Times New Roman"/>
      <w:sz w:val="32"/>
      <w:szCs w:val="24"/>
    </w:rPr>
  </w:style>
  <w:style w:type="character" w:customStyle="1" w:styleId="14">
    <w:name w:val="标题 1 字符"/>
    <w:basedOn w:val="9"/>
    <w:link w:val="2"/>
    <w:qFormat/>
    <w:uiPriority w:val="9"/>
    <w:rPr>
      <w:b/>
      <w:bCs/>
      <w:kern w:val="44"/>
      <w:sz w:val="44"/>
      <w:szCs w:val="44"/>
    </w:rPr>
  </w:style>
  <w:style w:type="character" w:customStyle="1" w:styleId="15">
    <w:name w:val="font21"/>
    <w:basedOn w:val="9"/>
    <w:qFormat/>
    <w:uiPriority w:val="0"/>
    <w:rPr>
      <w:rFonts w:hint="eastAsia" w:ascii="仿宋_GB2312" w:eastAsia="仿宋_GB2312" w:cs="仿宋_GB2312"/>
      <w:b/>
      <w:bCs/>
      <w:color w:val="000000"/>
      <w:sz w:val="28"/>
      <w:szCs w:val="28"/>
      <w:u w:val="none"/>
    </w:rPr>
  </w:style>
  <w:style w:type="character" w:customStyle="1" w:styleId="16">
    <w:name w:val="font31"/>
    <w:basedOn w:val="9"/>
    <w:qFormat/>
    <w:uiPriority w:val="0"/>
    <w:rPr>
      <w:rFonts w:hint="eastAsia" w:ascii="仿宋_GB2312" w:eastAsia="仿宋_GB2312" w:cs="仿宋_GB2312"/>
      <w:color w:val="000000"/>
      <w:sz w:val="28"/>
      <w:szCs w:val="28"/>
      <w:u w:val="none"/>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1811</Words>
  <Characters>1941</Characters>
  <Lines>239</Lines>
  <Paragraphs>196</Paragraphs>
  <TotalTime>1</TotalTime>
  <ScaleCrop>false</ScaleCrop>
  <LinksUpToDate>false</LinksUpToDate>
  <CharactersWithSpaces>1993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2025-07-11T01:56:01Z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40A1DF5D503F44FE92A33C696E2AFFDF_13</vt:lpwstr>
  </property>
  <property fmtid="{D5CDD505-2E9C-101B-9397-08002B2CF9AE}" pid="4" name="KSOTemplateDocerSaveRecord">
    <vt:lpwstr>eyJoZGlkIjoiOTgxNzhhZWVjZDVjYzFiNzUyN2FlYmU1YTIwNTA2N2MiLCJ1c2VySWQiOiIxMTI2ODg3MDA2In0=</vt:lpwstr>
  </property>
</Properties>
</file>