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C42A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000000"/>
          <w:spacing w:val="0"/>
          <w:sz w:val="44"/>
          <w:szCs w:val="44"/>
          <w:shd w:val="clear" w:fill="FCFCFC"/>
          <w:lang w:val="en-US" w:eastAsia="zh-CN"/>
        </w:rPr>
        <w:t>红细胞寿命测定呼气试验仪</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需求</w:t>
      </w:r>
    </w:p>
    <w:p w14:paraId="1B49C2C1">
      <w:pPr>
        <w:pStyle w:val="10"/>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19F76D04">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项目名称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i w:val="0"/>
          <w:iCs w:val="0"/>
          <w:caps w:val="0"/>
          <w:color w:val="000000"/>
          <w:spacing w:val="0"/>
          <w:sz w:val="28"/>
          <w:szCs w:val="28"/>
          <w:shd w:val="clear" w:fill="FCFCFC"/>
          <w:lang w:val="en-US" w:eastAsia="zh-CN"/>
        </w:rPr>
        <w:t>红细胞寿命测定呼气试验仪</w:t>
      </w:r>
    </w:p>
    <w:p w14:paraId="3159F1BD">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项目预算（单位：万元）</w:t>
      </w:r>
      <w:r>
        <w:rPr>
          <w:rFonts w:hint="eastAsia" w:ascii="仿宋_GB2312" w:hAnsi="仿宋_GB2312" w:eastAsia="仿宋_GB2312" w:cs="仿宋_GB2312"/>
          <w:kern w:val="0"/>
          <w:sz w:val="28"/>
          <w:szCs w:val="28"/>
          <w:lang w:eastAsia="zh-CN"/>
        </w:rPr>
        <w:t>：</w:t>
      </w:r>
      <w:r>
        <w:rPr>
          <w:rFonts w:hint="eastAsia" w:ascii="仿宋" w:hAnsi="仿宋" w:eastAsia="仿宋" w:cs="Times New Roman"/>
          <w:kern w:val="0"/>
          <w:sz w:val="28"/>
          <w:szCs w:val="28"/>
          <w:lang w:val="en-US" w:eastAsia="zh-CN"/>
        </w:rPr>
        <w:t>9.8</w:t>
      </w:r>
    </w:p>
    <w:p w14:paraId="752E2AC0">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lang w:val="en-US" w:eastAsia="zh-CN"/>
        </w:rPr>
        <w:t>报价类型</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总价</w:t>
      </w:r>
    </w:p>
    <w:p w14:paraId="43A2033A">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资金来源：单位资金</w:t>
      </w:r>
    </w:p>
    <w:p w14:paraId="0444FBD3">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采购类别：货物</w:t>
      </w:r>
    </w:p>
    <w:p w14:paraId="394FBE4B">
      <w:pPr>
        <w:pStyle w:val="10"/>
        <w:widowControl/>
        <w:numPr>
          <w:ilvl w:val="0"/>
          <w:numId w:val="1"/>
        </w:numPr>
        <w:spacing w:line="360" w:lineRule="auto"/>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28"/>
          <w:szCs w:val="28"/>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t>：</w:t>
      </w:r>
    </w:p>
    <w:p w14:paraId="0066A8A1">
      <w:pPr>
        <w:numPr>
          <w:ilvl w:val="0"/>
          <w:numId w:val="3"/>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采购项目需实现的功能和目标：</w:t>
      </w:r>
    </w:p>
    <w:p w14:paraId="291B4B0A">
      <w:pPr>
        <w:numPr>
          <w:ilvl w:val="0"/>
          <w:numId w:val="0"/>
        </w:numPr>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r>
        <w:rPr>
          <w:rFonts w:hint="default" w:ascii="仿宋" w:hAnsi="仿宋" w:eastAsia="仿宋"/>
          <w:sz w:val="32"/>
          <w:szCs w:val="32"/>
          <w:highlight w:val="none"/>
          <w:lang w:val="en-US" w:eastAsia="zh-CN"/>
        </w:rPr>
        <w:t>、2025年南山区干部体检三档新增选项检测项目；</w:t>
      </w:r>
    </w:p>
    <w:p w14:paraId="5365D9CC">
      <w:pPr>
        <w:pStyle w:val="10"/>
        <w:widowControl/>
        <w:numPr>
          <w:ilvl w:val="0"/>
          <w:numId w:val="0"/>
        </w:numPr>
        <w:spacing w:line="360" w:lineRule="auto"/>
        <w:ind w:leftChars="0"/>
        <w:jc w:val="left"/>
        <w:rPr>
          <w:rFonts w:hint="default" w:ascii="仿宋_GB2312" w:hAnsi="仿宋_GB2312" w:eastAsia="仿宋_GB2312" w:cs="仿宋_GB2312"/>
          <w:sz w:val="28"/>
          <w:szCs w:val="28"/>
          <w:u w:val="single"/>
          <w:lang w:val="en-US" w:eastAsia="zh-CN"/>
        </w:rPr>
      </w:pPr>
      <w:r>
        <w:rPr>
          <w:rFonts w:hint="eastAsia" w:ascii="仿宋" w:hAnsi="仿宋" w:eastAsia="仿宋"/>
          <w:sz w:val="32"/>
          <w:szCs w:val="32"/>
          <w:highlight w:val="none"/>
          <w:lang w:val="en-US" w:eastAsia="zh-CN"/>
        </w:rPr>
        <w:t>2</w:t>
      </w:r>
      <w:r>
        <w:rPr>
          <w:rFonts w:hint="default" w:ascii="仿宋" w:hAnsi="仿宋" w:eastAsia="仿宋"/>
          <w:sz w:val="32"/>
          <w:szCs w:val="32"/>
          <w:highlight w:val="none"/>
          <w:lang w:val="en-US" w:eastAsia="zh-CN"/>
        </w:rPr>
        <w:t>、红细胞寿命是一项重要的基础生理指标和病理指标；红细胞寿命反映红细胞的生存质量，体现人体血液健康状态；很多疾病因素都可导致红细胞寿命缩短，如血液病、肿瘤因子、糖尿病、毒素等，因此可起到疾病预警作用，是一个优质的体检项目。</w:t>
      </w:r>
      <w:r>
        <w:rPr>
          <w:rFonts w:hint="default" w:ascii="仿宋" w:hAnsi="仿宋" w:eastAsia="仿宋"/>
          <w:sz w:val="32"/>
          <w:szCs w:val="32"/>
          <w:highlight w:val="none"/>
          <w:lang w:val="en-US" w:eastAsia="zh-CN"/>
        </w:rPr>
        <w:br w:type="textWrapping"/>
      </w:r>
      <w:r>
        <w:rPr>
          <w:rFonts w:hint="eastAsia" w:ascii="仿宋" w:hAnsi="仿宋" w:eastAsia="仿宋"/>
          <w:sz w:val="32"/>
          <w:szCs w:val="32"/>
          <w:highlight w:val="none"/>
          <w:lang w:val="en-US" w:eastAsia="zh-CN"/>
        </w:rPr>
        <w:t>（1）</w:t>
      </w:r>
      <w:r>
        <w:rPr>
          <w:rFonts w:hint="default" w:ascii="仿宋" w:hAnsi="仿宋" w:eastAsia="仿宋"/>
          <w:sz w:val="32"/>
          <w:szCs w:val="32"/>
          <w:highlight w:val="none"/>
          <w:lang w:val="en-US" w:eastAsia="zh-CN"/>
        </w:rPr>
        <w:t>、红细胞寿命可用于判断是否是亚健康。</w:t>
      </w:r>
      <w:r>
        <w:rPr>
          <w:rFonts w:hint="default" w:ascii="仿宋" w:hAnsi="仿宋" w:eastAsia="仿宋"/>
          <w:sz w:val="32"/>
          <w:szCs w:val="32"/>
          <w:highlight w:val="none"/>
          <w:lang w:val="en-US" w:eastAsia="zh-CN"/>
        </w:rPr>
        <w:br w:type="textWrapping"/>
      </w:r>
      <w:r>
        <w:rPr>
          <w:rFonts w:hint="eastAsia" w:ascii="仿宋" w:hAnsi="仿宋" w:eastAsia="仿宋"/>
          <w:sz w:val="32"/>
          <w:szCs w:val="32"/>
          <w:highlight w:val="none"/>
          <w:lang w:val="en-US" w:eastAsia="zh-CN"/>
        </w:rPr>
        <w:t>（</w:t>
      </w:r>
      <w:r>
        <w:rPr>
          <w:rFonts w:hint="default" w:ascii="仿宋" w:hAnsi="仿宋" w:eastAsia="仿宋"/>
          <w:sz w:val="32"/>
          <w:szCs w:val="32"/>
          <w:highlight w:val="none"/>
          <w:lang w:val="en-US" w:eastAsia="zh-CN"/>
        </w:rPr>
        <w:t>2</w:t>
      </w:r>
      <w:r>
        <w:rPr>
          <w:rFonts w:hint="eastAsia" w:ascii="仿宋" w:hAnsi="仿宋" w:eastAsia="仿宋"/>
          <w:sz w:val="32"/>
          <w:szCs w:val="32"/>
          <w:highlight w:val="none"/>
          <w:lang w:val="en-US" w:eastAsia="zh-CN"/>
        </w:rPr>
        <w:t>）</w:t>
      </w:r>
      <w:r>
        <w:rPr>
          <w:rFonts w:hint="default" w:ascii="仿宋" w:hAnsi="仿宋" w:eastAsia="仿宋"/>
          <w:sz w:val="32"/>
          <w:szCs w:val="32"/>
          <w:highlight w:val="none"/>
          <w:lang w:val="en-US" w:eastAsia="zh-CN"/>
        </w:rPr>
        <w:t>、红细胞寿命缩短时，其免疫粘附功能可能会下降，导致免疫复合物在体内沉积，会出现如自身免疫性肝炎、红斑性狼疮、肾炎、恶性肿瘤等疾病，进一步排查意义重大。</w:t>
      </w:r>
      <w:r>
        <w:rPr>
          <w:rFonts w:hint="default" w:ascii="仿宋" w:hAnsi="仿宋" w:eastAsia="仿宋"/>
          <w:sz w:val="32"/>
          <w:szCs w:val="32"/>
          <w:highlight w:val="none"/>
          <w:lang w:val="en-US" w:eastAsia="zh-CN"/>
        </w:rPr>
        <w:br w:type="textWrapping"/>
      </w:r>
      <w:r>
        <w:rPr>
          <w:rFonts w:hint="eastAsia" w:ascii="仿宋" w:hAnsi="仿宋" w:eastAsia="仿宋"/>
          <w:sz w:val="32"/>
          <w:szCs w:val="32"/>
          <w:highlight w:val="none"/>
          <w:lang w:val="en-US" w:eastAsia="zh-CN"/>
        </w:rPr>
        <w:t>（</w:t>
      </w:r>
      <w:r>
        <w:rPr>
          <w:rFonts w:hint="default" w:ascii="仿宋" w:hAnsi="仿宋" w:eastAsia="仿宋"/>
          <w:sz w:val="32"/>
          <w:szCs w:val="32"/>
          <w:highlight w:val="none"/>
          <w:lang w:val="en-US" w:eastAsia="zh-CN"/>
        </w:rPr>
        <w:t>3</w:t>
      </w:r>
      <w:r>
        <w:rPr>
          <w:rFonts w:hint="eastAsia" w:ascii="仿宋" w:hAnsi="仿宋" w:eastAsia="仿宋"/>
          <w:sz w:val="32"/>
          <w:szCs w:val="32"/>
          <w:highlight w:val="none"/>
          <w:lang w:val="en-US" w:eastAsia="zh-CN"/>
        </w:rPr>
        <w:t>）</w:t>
      </w:r>
      <w:r>
        <w:rPr>
          <w:rFonts w:hint="default" w:ascii="仿宋" w:hAnsi="仿宋" w:eastAsia="仿宋"/>
          <w:sz w:val="32"/>
          <w:szCs w:val="32"/>
          <w:highlight w:val="none"/>
          <w:lang w:val="en-US" w:eastAsia="zh-CN"/>
        </w:rPr>
        <w:t>、测定红细胞寿命可快速诊断是否是溶血造成的。在血液科应用广泛，2019年中华医学会推荐呼气试验法作为临床测定红细胞寿命的首选方法。</w:t>
      </w:r>
    </w:p>
    <w:p w14:paraId="18BB3F1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6270BB29">
      <w:pPr>
        <w:numPr>
          <w:ilvl w:val="0"/>
          <w:numId w:val="4"/>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19C8F142">
      <w:pPr>
        <w:numPr>
          <w:ilvl w:val="0"/>
          <w:numId w:val="5"/>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         □是否仅面向小微企业</w:t>
      </w:r>
    </w:p>
    <w:p w14:paraId="41D03029">
      <w:pPr>
        <w:numPr>
          <w:ilvl w:val="0"/>
          <w:numId w:val="5"/>
        </w:numPr>
        <w:spacing w:line="360" w:lineRule="auto"/>
        <w:ind w:left="425" w:leftChars="0" w:hanging="425" w:firstLineChars="0"/>
        <w:rPr>
          <w:rFonts w:ascii="仿宋" w:hAnsi="仿宋" w:eastAsia="仿宋"/>
          <w:sz w:val="28"/>
          <w:szCs w:val="28"/>
          <w:u w:val="singl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r>
        <w:rPr>
          <w:rFonts w:hint="eastAsia" w:ascii="仿宋" w:hAnsi="仿宋" w:eastAsia="仿宋"/>
          <w:sz w:val="28"/>
          <w:szCs w:val="28"/>
          <w:u w:val="single"/>
        </w:rPr>
        <w:t>按照办法规定预留采购份额无法确保充分供应、充分竞争，或者存在可能影响政府采购目标实现的情形</w:t>
      </w:r>
      <w:r>
        <w:rPr>
          <w:rFonts w:ascii="仿宋" w:hAnsi="仿宋" w:eastAsia="仿宋"/>
          <w:sz w:val="28"/>
          <w:szCs w:val="28"/>
          <w:u w:val="single"/>
        </w:rPr>
        <w:t xml:space="preserve"> </w:t>
      </w:r>
      <w:r>
        <w:rPr>
          <w:rFonts w:hint="eastAsia" w:ascii="仿宋" w:hAnsi="仿宋" w:eastAsia="仿宋"/>
          <w:sz w:val="28"/>
          <w:szCs w:val="28"/>
          <w:u w:val="single"/>
          <w:lang w:eastAsia="zh-CN"/>
        </w:rPr>
        <w:t>。</w:t>
      </w:r>
    </w:p>
    <w:p w14:paraId="55EE44AB">
      <w:pPr>
        <w:numPr>
          <w:ilvl w:val="0"/>
          <w:numId w:val="6"/>
        </w:num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是否接受</w:t>
      </w:r>
      <w:r>
        <w:rPr>
          <w:rFonts w:hint="eastAsia" w:ascii="仿宋_GB2312" w:hAnsi="仿宋_GB2312" w:eastAsia="仿宋_GB2312" w:cs="仿宋_GB2312"/>
          <w:b/>
          <w:bCs/>
          <w:sz w:val="28"/>
          <w:szCs w:val="28"/>
        </w:rPr>
        <w:t>联合体投标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w:t>
      </w:r>
    </w:p>
    <w:p w14:paraId="364C7258">
      <w:pPr>
        <w:spacing w:line="360" w:lineRule="auto"/>
        <w:rPr>
          <w:rFonts w:hint="eastAsia" w:ascii="仿宋_GB2312" w:hAnsi="仿宋_GB2312" w:eastAsia="仿宋_GB2312" w:cs="仿宋_GB2312"/>
          <w:b/>
          <w:bCs/>
          <w:sz w:val="28"/>
          <w:szCs w:val="28"/>
          <w:lang w:eastAsia="zh-CN"/>
        </w:rPr>
      </w:pPr>
      <w:r>
        <w:rPr>
          <w:rFonts w:hint="eastAsia" w:ascii="仿宋" w:hAnsi="仿宋" w:eastAsia="仿宋"/>
          <w:b/>
          <w:bCs/>
          <w:sz w:val="32"/>
          <w:szCs w:val="32"/>
        </w:rPr>
        <w:t>（</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）采购标的汇总表</w:t>
      </w:r>
      <w:r>
        <w:rPr>
          <w:rFonts w:hint="eastAsia" w:ascii="仿宋_GB2312" w:hAnsi="仿宋_GB2312" w:eastAsia="仿宋_GB2312" w:cs="仿宋_GB2312"/>
          <w:b/>
          <w:bCs/>
          <w:sz w:val="28"/>
          <w:szCs w:val="28"/>
          <w:lang w:eastAsia="zh-CN"/>
        </w:rPr>
        <w:t>：</w:t>
      </w:r>
    </w:p>
    <w:tbl>
      <w:tblPr>
        <w:tblStyle w:val="5"/>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514"/>
        <w:gridCol w:w="1936"/>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项目</w:t>
            </w:r>
            <w:r>
              <w:rPr>
                <w:rFonts w:hint="eastAsia" w:ascii="仿宋_GB2312" w:hAnsi="仿宋_GB2312" w:eastAsia="仿宋_GB2312" w:cs="仿宋_GB2312"/>
                <w:color w:val="auto"/>
                <w:kern w:val="0"/>
                <w:sz w:val="24"/>
                <w:szCs w:val="24"/>
              </w:rPr>
              <w:t>名称</w:t>
            </w:r>
          </w:p>
        </w:tc>
        <w:tc>
          <w:tcPr>
            <w:tcW w:w="2331"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品目 （政府采购品目分类目录）</w:t>
            </w:r>
          </w:p>
        </w:tc>
        <w:tc>
          <w:tcPr>
            <w:tcW w:w="1601"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计量单位</w:t>
            </w:r>
          </w:p>
        </w:tc>
        <w:tc>
          <w:tcPr>
            <w:tcW w:w="968"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数量</w:t>
            </w:r>
          </w:p>
        </w:tc>
        <w:tc>
          <w:tcPr>
            <w:tcW w:w="1514"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总</w:t>
            </w:r>
            <w:r>
              <w:rPr>
                <w:rFonts w:hint="eastAsia" w:ascii="仿宋_GB2312" w:hAnsi="仿宋_GB2312" w:eastAsia="仿宋_GB2312" w:cs="仿宋_GB2312"/>
                <w:color w:val="auto"/>
                <w:kern w:val="0"/>
                <w:sz w:val="24"/>
                <w:szCs w:val="24"/>
              </w:rPr>
              <w:t>预算</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元</w:t>
            </w:r>
            <w:r>
              <w:rPr>
                <w:rFonts w:hint="eastAsia" w:ascii="仿宋_GB2312" w:hAnsi="仿宋_GB2312" w:eastAsia="仿宋_GB2312" w:cs="仿宋_GB2312"/>
                <w:color w:val="auto"/>
                <w:kern w:val="0"/>
                <w:sz w:val="24"/>
                <w:szCs w:val="24"/>
                <w:lang w:eastAsia="zh-CN"/>
              </w:rPr>
              <w:t>）</w:t>
            </w:r>
          </w:p>
        </w:tc>
        <w:tc>
          <w:tcPr>
            <w:tcW w:w="1936" w:type="dxa"/>
            <w:shd w:val="clear" w:color="auto" w:fill="FFFFFF"/>
            <w:tcMar>
              <w:top w:w="0" w:type="dxa"/>
              <w:right w:w="0" w:type="dxa"/>
            </w:tcMar>
            <w:vAlign w:val="center"/>
          </w:tcPr>
          <w:p w14:paraId="0B1CE406">
            <w:pPr>
              <w:autoSpaceDE w:val="0"/>
              <w:autoSpaceDN w:val="0"/>
              <w:adjustRightInd w:val="0"/>
              <w:spacing w:line="240" w:lineRule="auto"/>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是否进口</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货物类提供</w:t>
            </w:r>
            <w:r>
              <w:rPr>
                <w:rFonts w:hint="eastAsia" w:ascii="仿宋_GB2312" w:hAnsi="仿宋_GB2312" w:eastAsia="仿宋_GB2312" w:cs="仿宋_GB2312"/>
                <w:color w:val="auto"/>
                <w:kern w:val="0"/>
                <w:sz w:val="24"/>
                <w:szCs w:val="24"/>
                <w:lang w:eastAsia="zh-CN"/>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4FAF42DE">
            <w:pPr>
              <w:autoSpaceDE w:val="0"/>
              <w:autoSpaceDN w:val="0"/>
              <w:adjustRightIn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aps w:val="0"/>
                <w:color w:val="auto"/>
                <w:spacing w:val="0"/>
                <w:sz w:val="24"/>
                <w:szCs w:val="24"/>
                <w:shd w:val="clear" w:fill="FCFCFC"/>
                <w:lang w:val="en-US" w:eastAsia="zh-CN"/>
              </w:rPr>
              <w:t>红细胞寿命测定呼气试验仪</w:t>
            </w:r>
          </w:p>
        </w:tc>
        <w:tc>
          <w:tcPr>
            <w:tcW w:w="2331" w:type="dxa"/>
            <w:shd w:val="clear" w:color="auto" w:fill="FFFFFF"/>
            <w:tcMar>
              <w:top w:w="0" w:type="dxa"/>
              <w:right w:w="0" w:type="dxa"/>
            </w:tcMar>
            <w:vAlign w:val="center"/>
          </w:tcPr>
          <w:p w14:paraId="0794CEF9">
            <w:pPr>
              <w:autoSpaceDE w:val="0"/>
              <w:autoSpaceDN w:val="0"/>
              <w:adjustRightIn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A02329900、其他医疗设备</w:t>
            </w:r>
          </w:p>
        </w:tc>
        <w:tc>
          <w:tcPr>
            <w:tcW w:w="1601" w:type="dxa"/>
            <w:shd w:val="clear" w:color="auto" w:fill="FFFFFF"/>
            <w:tcMar>
              <w:top w:w="0" w:type="dxa"/>
              <w:right w:w="0" w:type="dxa"/>
            </w:tcMar>
            <w:vAlign w:val="center"/>
          </w:tcPr>
          <w:p w14:paraId="72D4CB52">
            <w:pPr>
              <w:autoSpaceDE w:val="0"/>
              <w:autoSpaceDN w:val="0"/>
              <w:adjustRightInd w:val="0"/>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套</w:t>
            </w:r>
          </w:p>
        </w:tc>
        <w:tc>
          <w:tcPr>
            <w:tcW w:w="968" w:type="dxa"/>
            <w:shd w:val="clear" w:color="auto" w:fill="FFFFFF"/>
            <w:vAlign w:val="center"/>
          </w:tcPr>
          <w:p w14:paraId="6888F0B6">
            <w:pPr>
              <w:autoSpaceDE w:val="0"/>
              <w:autoSpaceDN w:val="0"/>
              <w:adjustRightInd w:val="0"/>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1514" w:type="dxa"/>
            <w:shd w:val="clear" w:color="auto" w:fill="FFFFFF"/>
            <w:vAlign w:val="center"/>
          </w:tcPr>
          <w:p w14:paraId="4C305FEB">
            <w:pPr>
              <w:autoSpaceDE w:val="0"/>
              <w:autoSpaceDN w:val="0"/>
              <w:adjustRightInd w:val="0"/>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98000.00</w:t>
            </w:r>
          </w:p>
        </w:tc>
        <w:tc>
          <w:tcPr>
            <w:tcW w:w="1936" w:type="dxa"/>
            <w:shd w:val="clear" w:color="auto" w:fill="FFFFFF"/>
            <w:tcMar>
              <w:top w:w="0" w:type="dxa"/>
              <w:right w:w="0" w:type="dxa"/>
            </w:tcMar>
            <w:vAlign w:val="center"/>
          </w:tcPr>
          <w:p w14:paraId="6562782E">
            <w:pPr>
              <w:autoSpaceDE w:val="0"/>
              <w:autoSpaceDN w:val="0"/>
              <w:adjustRightInd w:val="0"/>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否</w:t>
            </w:r>
          </w:p>
        </w:tc>
      </w:tr>
    </w:tbl>
    <w:p w14:paraId="0E3F5DE1">
      <w:pPr>
        <w:numPr>
          <w:ilvl w:val="0"/>
          <w:numId w:val="6"/>
        </w:numPr>
        <w:ind w:left="0" w:leftChars="0"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按照规定及项目情况设置投标供应商资格要求：</w:t>
      </w:r>
    </w:p>
    <w:tbl>
      <w:tblPr>
        <w:tblStyle w:val="5"/>
        <w:tblW w:w="100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9"/>
        <w:gridCol w:w="9296"/>
      </w:tblGrid>
      <w:tr w14:paraId="361E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957F">
            <w:pPr>
              <w:widowControl/>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序号</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254B">
            <w:pPr>
              <w:widowControl/>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要求</w:t>
            </w:r>
          </w:p>
        </w:tc>
      </w:tr>
      <w:tr w14:paraId="2B4B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9C1A">
            <w:pPr>
              <w:widowControl/>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1</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22CE">
            <w:pPr>
              <w:widowControl/>
              <w:jc w:val="lef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投标人必须具有独立法人资格，《营业执照》、《税务登记证》、《组织机构代码证》或“三证合一”的《营业执照》并具有相关经营范围（提供相关证明扫描件，原件备查）；</w:t>
            </w:r>
          </w:p>
        </w:tc>
      </w:tr>
      <w:tr w14:paraId="1EC40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8006">
            <w:pPr>
              <w:widowControl/>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2</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2F6F">
            <w:pPr>
              <w:widowControl/>
              <w:jc w:val="lef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tc>
      </w:tr>
      <w:tr w14:paraId="6CFDA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5B26">
            <w:pPr>
              <w:widowControl/>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3</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3E49">
            <w:pPr>
              <w:widowControl/>
              <w:jc w:val="lef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投标人必须承诺参与本项目投标前三年内，在经营活动中没有重大违法记录，以及参与本项目政府采购活动时不存在被有关部门禁止参与政府采购活动且在有效期内的情况（提供承诺函）；</w:t>
            </w:r>
          </w:p>
        </w:tc>
      </w:tr>
      <w:tr w14:paraId="44D9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995D">
            <w:pPr>
              <w:widowControl/>
              <w:jc w:val="center"/>
              <w:textAlignment w:val="center"/>
              <w:rPr>
                <w:rFonts w:hint="eastAsia" w:ascii="仿宋_GB2312" w:hAnsi="宋体" w:eastAsia="仿宋_GB2312" w:cs="仿宋_GB2312"/>
                <w:color w:val="000000"/>
                <w:kern w:val="0"/>
                <w:sz w:val="24"/>
                <w:szCs w:val="24"/>
                <w:highlight w:val="none"/>
                <w:lang w:bidi="ar"/>
              </w:rPr>
            </w:pPr>
            <w:r>
              <w:rPr>
                <w:rFonts w:hint="eastAsia" w:ascii="仿宋_GB2312" w:hAnsi="宋体" w:eastAsia="仿宋_GB2312" w:cs="仿宋_GB2312"/>
                <w:color w:val="000000"/>
                <w:kern w:val="0"/>
                <w:sz w:val="24"/>
                <w:szCs w:val="24"/>
                <w:highlight w:val="none"/>
                <w:lang w:val="en-US" w:eastAsia="zh-CN" w:bidi="ar"/>
              </w:rPr>
              <w:t>4</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97B7">
            <w:pPr>
              <w:widowControl/>
              <w:jc w:val="left"/>
              <w:textAlignment w:val="center"/>
              <w:rPr>
                <w:rFonts w:hint="eastAsia" w:ascii="仿宋_GB2312" w:hAnsi="宋体" w:eastAsia="仿宋_GB2312" w:cs="仿宋_GB2312"/>
                <w:color w:val="000000"/>
                <w:kern w:val="0"/>
                <w:sz w:val="24"/>
                <w:szCs w:val="24"/>
                <w:highlight w:val="none"/>
                <w:lang w:bidi="ar"/>
              </w:rPr>
            </w:pPr>
            <w:r>
              <w:rPr>
                <w:rFonts w:hint="eastAsia" w:ascii="仿宋_GB2312" w:hAnsi="宋体" w:eastAsia="仿宋_GB2312" w:cs="仿宋_GB2312"/>
                <w:color w:val="000000"/>
                <w:kern w:val="0"/>
                <w:sz w:val="24"/>
                <w:szCs w:val="24"/>
                <w:highlight w:val="none"/>
                <w:lang w:val="en-US" w:eastAsia="zh-CN" w:bidi="ar"/>
              </w:rPr>
              <w:t>本项目不接受进口产品参与；</w:t>
            </w:r>
          </w:p>
        </w:tc>
      </w:tr>
      <w:tr w14:paraId="17189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C05C">
            <w:pPr>
              <w:widowControl/>
              <w:jc w:val="center"/>
              <w:textAlignment w:val="center"/>
              <w:rPr>
                <w:rFonts w:hint="eastAsia" w:ascii="仿宋_GB2312" w:hAnsi="宋体" w:eastAsia="仿宋_GB2312" w:cs="仿宋_GB2312"/>
                <w:color w:val="000000"/>
                <w:kern w:val="0"/>
                <w:sz w:val="24"/>
                <w:szCs w:val="24"/>
                <w:highlight w:val="none"/>
                <w:lang w:bidi="ar"/>
              </w:rPr>
            </w:pPr>
            <w:r>
              <w:rPr>
                <w:rFonts w:hint="eastAsia" w:ascii="仿宋_GB2312" w:hAnsi="宋体" w:eastAsia="仿宋_GB2312" w:cs="仿宋_GB2312"/>
                <w:color w:val="000000"/>
                <w:kern w:val="0"/>
                <w:sz w:val="24"/>
                <w:szCs w:val="24"/>
                <w:highlight w:val="none"/>
                <w:lang w:val="en-US" w:eastAsia="zh-CN" w:bidi="ar"/>
              </w:rPr>
              <w:t>5</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6C25">
            <w:pPr>
              <w:widowControl/>
              <w:jc w:val="left"/>
              <w:textAlignment w:val="center"/>
              <w:rPr>
                <w:rFonts w:hint="eastAsia" w:ascii="仿宋_GB2312" w:hAnsi="宋体" w:eastAsia="仿宋_GB2312" w:cs="仿宋_GB2312"/>
                <w:color w:val="000000"/>
                <w:kern w:val="0"/>
                <w:sz w:val="24"/>
                <w:szCs w:val="24"/>
                <w:highlight w:val="none"/>
                <w:lang w:bidi="ar"/>
              </w:rPr>
            </w:pPr>
            <w:r>
              <w:rPr>
                <w:rFonts w:hint="eastAsia" w:ascii="仿宋_GB2312" w:hAnsi="宋体" w:eastAsia="仿宋_GB2312" w:cs="仿宋_GB2312"/>
                <w:color w:val="000000"/>
                <w:kern w:val="0"/>
                <w:sz w:val="24"/>
                <w:szCs w:val="24"/>
                <w:highlight w:val="none"/>
                <w:lang w:val="en-US" w:eastAsia="zh-CN" w:bidi="ar"/>
              </w:rPr>
              <w:t>本项目不接受联合体投标。</w:t>
            </w:r>
          </w:p>
        </w:tc>
      </w:tr>
    </w:tbl>
    <w:p w14:paraId="4EEEB5CB">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技术</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服务</w:t>
      </w:r>
      <w:r>
        <w:rPr>
          <w:rFonts w:hint="eastAsia" w:ascii="仿宋_GB2312" w:hAnsi="仿宋_GB2312" w:eastAsia="仿宋_GB2312" w:cs="仿宋_GB2312"/>
          <w:b/>
          <w:bCs/>
          <w:sz w:val="28"/>
          <w:szCs w:val="28"/>
        </w:rPr>
        <w:t>要求与商务要求</w:t>
      </w:r>
      <w:r>
        <w:rPr>
          <w:rFonts w:hint="eastAsia" w:ascii="仿宋_GB2312" w:hAnsi="仿宋_GB2312" w:eastAsia="仿宋_GB2312" w:cs="仿宋_GB2312"/>
          <w:b/>
          <w:bCs/>
          <w:sz w:val="28"/>
          <w:szCs w:val="28"/>
          <w:lang w:eastAsia="zh-CN"/>
        </w:rPr>
        <w:t>：</w:t>
      </w:r>
    </w:p>
    <w:p w14:paraId="3FEA7243">
      <w:pPr>
        <w:numPr>
          <w:ilvl w:val="0"/>
          <w:numId w:val="7"/>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技术要求</w:t>
      </w:r>
      <w:r>
        <w:rPr>
          <w:rFonts w:hint="eastAsia" w:ascii="仿宋_GB2312" w:hAnsi="仿宋_GB2312" w:eastAsia="仿宋_GB2312" w:cs="仿宋_GB2312"/>
          <w:sz w:val="28"/>
          <w:szCs w:val="28"/>
          <w:lang w:eastAsia="zh-CN"/>
        </w:rPr>
        <w:t>：</w:t>
      </w:r>
    </w:p>
    <w:tbl>
      <w:tblPr>
        <w:tblStyle w:val="5"/>
        <w:tblW w:w="8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7"/>
        <w:gridCol w:w="7523"/>
      </w:tblGrid>
      <w:tr w14:paraId="7A5EE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96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BF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bookmarkStart w:id="0" w:name="_GoBack"/>
            <w:r>
              <w:rPr>
                <w:rFonts w:hint="eastAsia" w:ascii="仿宋_GB2312" w:hAnsi="仿宋_GB2312" w:eastAsia="仿宋_GB2312" w:cs="仿宋_GB2312"/>
                <w:i w:val="0"/>
                <w:iCs w:val="0"/>
                <w:color w:val="000000"/>
                <w:kern w:val="0"/>
                <w:sz w:val="24"/>
                <w:szCs w:val="24"/>
                <w:u w:val="none"/>
                <w:lang w:val="en-US" w:eastAsia="zh-CN" w:bidi="ar"/>
              </w:rPr>
              <w:t>参数</w:t>
            </w:r>
            <w:bookmarkEnd w:id="0"/>
          </w:p>
        </w:tc>
      </w:tr>
      <w:tr w14:paraId="39AE3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41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4E7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适用范围：适用于红细胞寿命测定。</w:t>
            </w:r>
          </w:p>
        </w:tc>
      </w:tr>
      <w:tr w14:paraId="7C1D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E1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F3A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采用光谱学技术。</w:t>
            </w:r>
          </w:p>
        </w:tc>
      </w:tr>
      <w:tr w14:paraId="5842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2F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5F2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CO测试特点：成对测量、差值拟合。</w:t>
            </w:r>
          </w:p>
        </w:tc>
      </w:tr>
      <w:tr w14:paraId="72C3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A2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7D0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同时测量CO2和CO。</w:t>
            </w:r>
          </w:p>
        </w:tc>
      </w:tr>
      <w:tr w14:paraId="71BE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84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B2D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自动完成CO2和CO浓度测量、稀释校正、红细胞寿命计算。</w:t>
            </w:r>
          </w:p>
        </w:tc>
      </w:tr>
      <w:tr w14:paraId="1F05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CC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BE2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测量一组样本的时间≤5min。</w:t>
            </w:r>
          </w:p>
        </w:tc>
      </w:tr>
      <w:tr w14:paraId="08D7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31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41C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测量CO的标准误差值满足SD≤0.14 ppm。</w:t>
            </w:r>
          </w:p>
        </w:tc>
      </w:tr>
      <w:tr w14:paraId="76D1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71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43F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▲在0.5-20ppm范围内，误差均≤0.14ppm，该范围内较大误差超过0.14ppm为不符合。</w:t>
            </w:r>
          </w:p>
        </w:tc>
      </w:tr>
      <w:tr w14:paraId="1327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7C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A5D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▲测量CO的准确性满足，准确性≤0.14 ppm。</w:t>
            </w:r>
          </w:p>
        </w:tc>
      </w:tr>
      <w:tr w14:paraId="29354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DD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EAD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▲气室数量：2个。</w:t>
            </w:r>
          </w:p>
        </w:tc>
      </w:tr>
      <w:tr w14:paraId="24C5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A1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EB0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可匹配高度智能化的自动呼气采集装置。</w:t>
            </w:r>
          </w:p>
        </w:tc>
      </w:tr>
      <w:tr w14:paraId="1D27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9C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1A7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可匹配呼气采集用鼻腔连接装置。</w:t>
            </w:r>
          </w:p>
        </w:tc>
      </w:tr>
      <w:tr w14:paraId="2D5E6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43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8A8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▲信号抗干扰技术：消除背景信号对气体浓度测量的干扰。</w:t>
            </w:r>
          </w:p>
        </w:tc>
      </w:tr>
      <w:tr w14:paraId="4BC2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29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916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可在检测时消除环境中CO的干扰。</w:t>
            </w:r>
          </w:p>
        </w:tc>
      </w:tr>
      <w:tr w14:paraId="6C1B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B0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A7D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可在检测时使环境气体和样本气体湿度达到40%以下。</w:t>
            </w:r>
          </w:p>
        </w:tc>
      </w:tr>
      <w:tr w14:paraId="1A27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B7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DE3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可在气路清洗时使进入设备气路和气室中的“清洗气体”的湿度降到40%以下，并催化“清洗气体”当中含有的CO。</w:t>
            </w:r>
          </w:p>
        </w:tc>
      </w:tr>
      <w:tr w14:paraId="7EFC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7B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2F5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仪器气密性要求：仪器进气嘴与气密性测试气袋连接好，阀门关闭，在初始压力为0.667kPa(5mmHg）状态下，在10s内最大压降不超过0.133 kPa(1mmHg)。</w:t>
            </w:r>
          </w:p>
        </w:tc>
      </w:tr>
      <w:tr w14:paraId="47FD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EC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B58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红细胞寿命测定的准确性：同品牌的红细胞寿命测定呼气试验仪至少有一个型号与标记法进行过红细胞寿命测定值比较，红细胞寿命值呈显著相关。</w:t>
            </w:r>
          </w:p>
        </w:tc>
      </w:tr>
      <w:tr w14:paraId="71BC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E4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C09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▲CO2校准功能，消除呼气样品成分因呼气个体差异而不能保证完全是肺泡气而引起的误差。</w:t>
            </w:r>
          </w:p>
        </w:tc>
      </w:tr>
      <w:tr w14:paraId="12401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97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80D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操作控制系统：智能化控制，适合单人操作。</w:t>
            </w:r>
          </w:p>
        </w:tc>
      </w:tr>
      <w:tr w14:paraId="14EE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F0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0D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预热时间短≤10min。</w:t>
            </w:r>
          </w:p>
        </w:tc>
      </w:tr>
      <w:tr w14:paraId="458D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6A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41A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支持与医院LIS/HIS系统对接。</w:t>
            </w:r>
          </w:p>
        </w:tc>
      </w:tr>
      <w:tr w14:paraId="70BED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DC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B35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自动提示样品是否在位。</w:t>
            </w:r>
          </w:p>
        </w:tc>
      </w:tr>
      <w:tr w14:paraId="401F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0A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7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F0C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仪器不受压强、温度影响，具有压强、温度自动校准功能。</w:t>
            </w:r>
          </w:p>
        </w:tc>
      </w:tr>
    </w:tbl>
    <w:p w14:paraId="6E4C9479">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配置清单</w:t>
      </w:r>
    </w:p>
    <w:tbl>
      <w:tblPr>
        <w:tblStyle w:val="5"/>
        <w:tblW w:w="7860" w:type="dxa"/>
        <w:jc w:val="center"/>
        <w:tblLayout w:type="autofit"/>
        <w:tblCellMar>
          <w:top w:w="0" w:type="dxa"/>
          <w:left w:w="108" w:type="dxa"/>
          <w:bottom w:w="0" w:type="dxa"/>
          <w:right w:w="108" w:type="dxa"/>
        </w:tblCellMar>
      </w:tblPr>
      <w:tblGrid>
        <w:gridCol w:w="1020"/>
        <w:gridCol w:w="4680"/>
        <w:gridCol w:w="1080"/>
        <w:gridCol w:w="1080"/>
      </w:tblGrid>
      <w:tr w14:paraId="7B824D7D">
        <w:tblPrEx>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DA1C">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序号</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74D4">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D23C">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0454">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单位</w:t>
            </w:r>
          </w:p>
        </w:tc>
      </w:tr>
      <w:tr w14:paraId="316CDDE8">
        <w:tblPrEx>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96A2">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A72A">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红细胞寿命测定呼气试验仪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B847">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82D5">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套</w:t>
            </w:r>
          </w:p>
        </w:tc>
      </w:tr>
      <w:tr w14:paraId="12EFA7B3">
        <w:tblPrEx>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118A">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CBFF">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采气用具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B36A">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02EF">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套</w:t>
            </w:r>
          </w:p>
        </w:tc>
      </w:tr>
      <w:tr w14:paraId="40FA6A1F">
        <w:tblPrEx>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6D6D">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43D0">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质控包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030E">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8408">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套</w:t>
            </w:r>
          </w:p>
        </w:tc>
      </w:tr>
    </w:tbl>
    <w:p w14:paraId="131C54D5">
      <w:pPr>
        <w:rPr>
          <w:rFonts w:hint="eastAsia"/>
        </w:rPr>
      </w:pPr>
    </w:p>
    <w:p w14:paraId="58D8642A">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配套耗材</w:t>
      </w:r>
    </w:p>
    <w:tbl>
      <w:tblPr>
        <w:tblStyle w:val="5"/>
        <w:tblW w:w="7855" w:type="dxa"/>
        <w:tblInd w:w="340" w:type="dxa"/>
        <w:tblLayout w:type="fixed"/>
        <w:tblCellMar>
          <w:top w:w="0" w:type="dxa"/>
          <w:left w:w="108" w:type="dxa"/>
          <w:bottom w:w="0" w:type="dxa"/>
          <w:right w:w="108" w:type="dxa"/>
        </w:tblCellMar>
      </w:tblPr>
      <w:tblGrid>
        <w:gridCol w:w="2809"/>
        <w:gridCol w:w="2537"/>
        <w:gridCol w:w="2509"/>
      </w:tblGrid>
      <w:tr w14:paraId="641D86DD">
        <w:tblPrEx>
          <w:tblCellMar>
            <w:top w:w="0" w:type="dxa"/>
            <w:left w:w="108" w:type="dxa"/>
            <w:bottom w:w="0" w:type="dxa"/>
            <w:right w:w="108" w:type="dxa"/>
          </w:tblCellMar>
        </w:tblPrEx>
        <w:trPr>
          <w:trHeight w:val="90"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A9E8">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通用名称</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9538">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最高限价（元）</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E5D1">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单位</w:t>
            </w:r>
          </w:p>
        </w:tc>
      </w:tr>
      <w:tr w14:paraId="20DF5956">
        <w:tblPrEx>
          <w:tblCellMar>
            <w:top w:w="0" w:type="dxa"/>
            <w:left w:w="108" w:type="dxa"/>
            <w:bottom w:w="0" w:type="dxa"/>
            <w:right w:w="108" w:type="dxa"/>
          </w:tblCellMar>
        </w:tblPrEx>
        <w:trPr>
          <w:trHeight w:val="750"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C081">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i w:val="0"/>
                <w:iCs w:val="0"/>
                <w:caps w:val="0"/>
                <w:color w:val="000000"/>
                <w:spacing w:val="0"/>
                <w:sz w:val="24"/>
                <w:szCs w:val="24"/>
                <w:highlight w:val="none"/>
                <w:shd w:val="clear" w:fill="FCFCFC"/>
                <w:lang w:val="en-US" w:eastAsia="zh-CN"/>
              </w:rPr>
              <w:t>红细胞寿命测定呼气试验仪-采气用具</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1384">
            <w:pPr>
              <w:widowControl/>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100</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1A1E">
            <w:pPr>
              <w:widowControl/>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个</w:t>
            </w:r>
          </w:p>
        </w:tc>
      </w:tr>
    </w:tbl>
    <w:p w14:paraId="7799DF9C">
      <w:pPr>
        <w:rPr>
          <w:rFonts w:hint="eastAsia"/>
        </w:rPr>
      </w:pPr>
    </w:p>
    <w:p w14:paraId="21230C9A">
      <w:pPr>
        <w:numPr>
          <w:ilvl w:val="0"/>
          <w:numId w:val="7"/>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商务要求：</w:t>
      </w:r>
    </w:p>
    <w:tbl>
      <w:tblPr>
        <w:tblStyle w:val="5"/>
        <w:tblW w:w="10365" w:type="dxa"/>
        <w:jc w:val="center"/>
        <w:tblLayout w:type="autofit"/>
        <w:tblCellMar>
          <w:top w:w="0" w:type="dxa"/>
          <w:left w:w="108" w:type="dxa"/>
          <w:bottom w:w="0" w:type="dxa"/>
          <w:right w:w="108" w:type="dxa"/>
        </w:tblCellMar>
      </w:tblPr>
      <w:tblGrid>
        <w:gridCol w:w="662"/>
        <w:gridCol w:w="1009"/>
        <w:gridCol w:w="1228"/>
        <w:gridCol w:w="7466"/>
      </w:tblGrid>
      <w:tr w14:paraId="49BC88EB">
        <w:tblPrEx>
          <w:tblCellMar>
            <w:top w:w="0" w:type="dxa"/>
            <w:left w:w="108" w:type="dxa"/>
            <w:bottom w:w="0" w:type="dxa"/>
            <w:right w:w="108" w:type="dxa"/>
          </w:tblCellMar>
        </w:tblPrEx>
        <w:trPr>
          <w:trHeight w:val="7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8DC2">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序号</w:t>
            </w:r>
          </w:p>
        </w:tc>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11844">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商务需求项</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C4FB">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商务要求</w:t>
            </w:r>
          </w:p>
        </w:tc>
      </w:tr>
      <w:tr w14:paraId="598BAE9E">
        <w:tblPrEx>
          <w:tblCellMar>
            <w:top w:w="0" w:type="dxa"/>
            <w:left w:w="108" w:type="dxa"/>
            <w:bottom w:w="0" w:type="dxa"/>
            <w:right w:w="108" w:type="dxa"/>
          </w:tblCellMar>
        </w:tblPrEx>
        <w:trPr>
          <w:trHeight w:val="7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08EE68">
            <w:pPr>
              <w:widowControl/>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（一）免费保修期内售后服务要求</w:t>
            </w:r>
          </w:p>
        </w:tc>
      </w:tr>
      <w:tr w14:paraId="5B435883">
        <w:tblPrEx>
          <w:tblCellMar>
            <w:top w:w="0" w:type="dxa"/>
            <w:left w:w="108" w:type="dxa"/>
            <w:bottom w:w="0" w:type="dxa"/>
            <w:right w:w="108" w:type="dxa"/>
          </w:tblCellMar>
        </w:tblPrEx>
        <w:trPr>
          <w:trHeight w:val="750"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CAE1A">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CB283">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免费保修期</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1D48">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ECB3">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★设备原厂（含附件）免费保修期为</w:t>
            </w:r>
            <w:r>
              <w:rPr>
                <w:rStyle w:val="12"/>
                <w:rFonts w:hint="eastAsia" w:hAnsi="宋体" w:eastAsia="仿宋_GB2312"/>
                <w:sz w:val="24"/>
                <w:szCs w:val="24"/>
                <w:highlight w:val="yellow"/>
                <w:lang w:val="en-US" w:eastAsia="zh-CN" w:bidi="ar"/>
              </w:rPr>
              <w:t>5</w:t>
            </w:r>
            <w:r>
              <w:rPr>
                <w:rStyle w:val="13"/>
                <w:rFonts w:hint="default" w:hAnsi="宋体"/>
                <w:sz w:val="24"/>
                <w:szCs w:val="24"/>
                <w:lang w:bidi="ar"/>
              </w:rPr>
              <w:t>年，自验收报告签字之日开始计算。</w:t>
            </w:r>
          </w:p>
        </w:tc>
      </w:tr>
      <w:tr w14:paraId="4C057525">
        <w:tblPrEx>
          <w:tblCellMar>
            <w:top w:w="0" w:type="dxa"/>
            <w:left w:w="108" w:type="dxa"/>
            <w:bottom w:w="0" w:type="dxa"/>
            <w:right w:w="108" w:type="dxa"/>
          </w:tblCellMar>
        </w:tblPrEx>
        <w:trPr>
          <w:trHeight w:val="249"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287FE">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0997F">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D8C1">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16FB">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5DF9DD4E">
        <w:tblPrEx>
          <w:tblCellMar>
            <w:top w:w="0" w:type="dxa"/>
            <w:left w:w="108" w:type="dxa"/>
            <w:bottom w:w="0" w:type="dxa"/>
            <w:right w:w="108" w:type="dxa"/>
          </w:tblCellMar>
        </w:tblPrEx>
        <w:trPr>
          <w:trHeight w:val="422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2EB0D">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82A21">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75E0">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5640">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00AB16BB">
        <w:tblPrEx>
          <w:tblCellMar>
            <w:top w:w="0" w:type="dxa"/>
            <w:left w:w="108" w:type="dxa"/>
            <w:bottom w:w="0" w:type="dxa"/>
            <w:right w:w="108" w:type="dxa"/>
          </w:tblCellMar>
        </w:tblPrEx>
        <w:trPr>
          <w:trHeight w:val="75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62F3">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4616">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其他</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4547">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FE00">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投标人应按其投标文件中的承诺，进行其他售后服务工作。</w:t>
            </w:r>
          </w:p>
        </w:tc>
      </w:tr>
      <w:tr w14:paraId="45055F83">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937E42">
            <w:pPr>
              <w:widowControl/>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（二）免费保修期外售后服务要求</w:t>
            </w:r>
          </w:p>
        </w:tc>
      </w:tr>
      <w:tr w14:paraId="5E33A639">
        <w:tblPrEx>
          <w:tblCellMar>
            <w:top w:w="0" w:type="dxa"/>
            <w:left w:w="108" w:type="dxa"/>
            <w:bottom w:w="0" w:type="dxa"/>
            <w:right w:w="108" w:type="dxa"/>
          </w:tblCellMar>
        </w:tblPrEx>
        <w:trPr>
          <w:trHeight w:val="911"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E65D">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9172">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其他</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34BD">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BFD7">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免费保修期结束后的维修只按优惠价格收取材料费，不收取人工费及差旅费，</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须在签订合同前提供该设备免费保修期结束后的年度维保方案和报价，以作为采购人购买后续服务的基本保证。</w:t>
            </w:r>
          </w:p>
        </w:tc>
      </w:tr>
      <w:tr w14:paraId="7E0938E5">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EA502F">
            <w:pPr>
              <w:widowControl/>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（三）其他商务要求</w:t>
            </w:r>
          </w:p>
        </w:tc>
      </w:tr>
      <w:tr w14:paraId="52712DF2">
        <w:tblPrEx>
          <w:tblCellMar>
            <w:top w:w="0" w:type="dxa"/>
            <w:left w:w="108" w:type="dxa"/>
            <w:bottom w:w="0" w:type="dxa"/>
            <w:right w:w="108" w:type="dxa"/>
          </w:tblCellMar>
        </w:tblPrEx>
        <w:trPr>
          <w:trHeight w:val="375"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BC077">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ECCA0">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关于交货</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8CFD">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2227">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w:t>
            </w:r>
            <w:r>
              <w:rPr>
                <w:rFonts w:hint="eastAsia" w:ascii="仿宋_GB2312" w:hAnsi="宋体" w:eastAsia="仿宋_GB2312" w:cs="仿宋_GB2312"/>
                <w:color w:val="000000"/>
                <w:kern w:val="0"/>
                <w:sz w:val="24"/>
                <w:szCs w:val="24"/>
                <w:highlight w:val="yellow"/>
                <w:lang w:bidi="ar"/>
              </w:rPr>
              <w:t>合同签订或约定之日起</w:t>
            </w:r>
            <w:r>
              <w:rPr>
                <w:rStyle w:val="12"/>
                <w:rFonts w:hint="default" w:hAnsi="宋体"/>
                <w:sz w:val="24"/>
                <w:szCs w:val="24"/>
                <w:highlight w:val="yellow"/>
                <w:lang w:bidi="ar"/>
              </w:rPr>
              <w:t>30</w:t>
            </w:r>
            <w:r>
              <w:rPr>
                <w:rStyle w:val="13"/>
                <w:rFonts w:hint="default" w:hAnsi="宋体"/>
                <w:sz w:val="24"/>
                <w:szCs w:val="24"/>
                <w:highlight w:val="yellow"/>
                <w:lang w:bidi="ar"/>
              </w:rPr>
              <w:t>日历天内交货。</w:t>
            </w:r>
          </w:p>
        </w:tc>
      </w:tr>
      <w:tr w14:paraId="1F1CDC1B">
        <w:tblPrEx>
          <w:tblCellMar>
            <w:top w:w="0" w:type="dxa"/>
            <w:left w:w="108" w:type="dxa"/>
            <w:bottom w:w="0" w:type="dxa"/>
            <w:right w:w="108" w:type="dxa"/>
          </w:tblCellMar>
        </w:tblPrEx>
        <w:trPr>
          <w:trHeight w:val="37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84086">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B5BEA">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6D6C">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E479">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地点：采购人指定地点。</w:t>
            </w:r>
          </w:p>
        </w:tc>
      </w:tr>
      <w:tr w14:paraId="4EB77839">
        <w:tblPrEx>
          <w:tblCellMar>
            <w:top w:w="0" w:type="dxa"/>
            <w:left w:w="108" w:type="dxa"/>
            <w:bottom w:w="0" w:type="dxa"/>
            <w:right w:w="108" w:type="dxa"/>
          </w:tblCellMar>
        </w:tblPrEx>
        <w:trPr>
          <w:trHeight w:val="543"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9FF12">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BF612">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6EE5">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291">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必须在交货之日</w:t>
            </w:r>
            <w:r>
              <w:rPr>
                <w:rFonts w:hint="eastAsia" w:ascii="仿宋_GB2312" w:hAnsi="宋体" w:eastAsia="仿宋_GB2312" w:cs="仿宋_GB2312"/>
                <w:b w:val="0"/>
                <w:bCs w:val="0"/>
                <w:color w:val="000000"/>
                <w:kern w:val="0"/>
                <w:sz w:val="24"/>
                <w:szCs w:val="24"/>
                <w:lang w:bidi="ar"/>
              </w:rPr>
              <w:t>起</w:t>
            </w:r>
            <w:r>
              <w:rPr>
                <w:rStyle w:val="12"/>
                <w:rFonts w:hint="default" w:hAnsi="宋体"/>
                <w:b w:val="0"/>
                <w:bCs w:val="0"/>
                <w:sz w:val="24"/>
                <w:szCs w:val="24"/>
                <w:lang w:bidi="ar"/>
              </w:rPr>
              <w:t>60</w:t>
            </w:r>
            <w:r>
              <w:rPr>
                <w:rStyle w:val="13"/>
                <w:rFonts w:hint="default" w:hAnsi="宋体"/>
                <w:sz w:val="24"/>
                <w:szCs w:val="24"/>
                <w:lang w:bidi="ar"/>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4B0FD676">
        <w:tblPrEx>
          <w:tblCellMar>
            <w:top w:w="0" w:type="dxa"/>
            <w:left w:w="108" w:type="dxa"/>
            <w:bottom w:w="0" w:type="dxa"/>
            <w:right w:w="108" w:type="dxa"/>
          </w:tblCellMar>
        </w:tblPrEx>
        <w:trPr>
          <w:trHeight w:val="164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B240D">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F243C">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AC2D">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1.4</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E6ED">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包装运输：</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承担，（包括但不限于运输费、装卸费、保管费等）。</w:t>
            </w:r>
          </w:p>
        </w:tc>
      </w:tr>
      <w:tr w14:paraId="638A1A80">
        <w:tblPrEx>
          <w:tblCellMar>
            <w:top w:w="0" w:type="dxa"/>
            <w:left w:w="108" w:type="dxa"/>
            <w:bottom w:w="0" w:type="dxa"/>
            <w:right w:w="108" w:type="dxa"/>
          </w:tblCellMar>
        </w:tblPrEx>
        <w:trPr>
          <w:trHeight w:val="1125"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2EB4C">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40882">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关于验收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04C4">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E774">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货物经过双方检验认可后，签署验收报告，产品保修期自验收合格之日起算，由投标人提供产品保修文件。</w:t>
            </w:r>
          </w:p>
        </w:tc>
      </w:tr>
      <w:tr w14:paraId="46FE1FEA">
        <w:tblPrEx>
          <w:tblCellMar>
            <w:top w:w="0" w:type="dxa"/>
            <w:left w:w="108" w:type="dxa"/>
            <w:bottom w:w="0" w:type="dxa"/>
            <w:right w:w="108" w:type="dxa"/>
          </w:tblCellMar>
        </w:tblPrEx>
        <w:trPr>
          <w:trHeight w:val="856"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5F5D8">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A1CA1">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2344">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CD38">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当满足以下条件时，采购人才向</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签发货物验收报告：</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已按照合同规定提供了全部产品及完整的技术资料。货物符合招标文件技术要求，性能满足要求。国产货物必须具备产品合格证。</w:t>
            </w:r>
          </w:p>
        </w:tc>
      </w:tr>
      <w:tr w14:paraId="16C58632">
        <w:tblPrEx>
          <w:tblCellMar>
            <w:top w:w="0" w:type="dxa"/>
            <w:left w:w="108" w:type="dxa"/>
            <w:bottom w:w="0" w:type="dxa"/>
            <w:right w:w="108" w:type="dxa"/>
          </w:tblCellMar>
        </w:tblPrEx>
        <w:trPr>
          <w:trHeight w:val="75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B41AD">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153FD">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3E97">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E012">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凡属于国家规定强制检测的设备项目，都必须具备计量质检部门的检测合格证。</w:t>
            </w:r>
          </w:p>
        </w:tc>
      </w:tr>
      <w:tr w14:paraId="24BBF4A4">
        <w:tblPrEx>
          <w:tblCellMar>
            <w:top w:w="0" w:type="dxa"/>
            <w:left w:w="108" w:type="dxa"/>
            <w:bottom w:w="0" w:type="dxa"/>
            <w:right w:w="108" w:type="dxa"/>
          </w:tblCellMar>
        </w:tblPrEx>
        <w:trPr>
          <w:trHeight w:val="58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8D12A">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A4A03">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499A">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2.4</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EF92">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验收过程中，如采购人拟对货物质量进行实质验收时，有权邀请第三方检测机构对货物进行检测或测试，因此所需的费用由</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承担。</w:t>
            </w:r>
          </w:p>
        </w:tc>
      </w:tr>
      <w:tr w14:paraId="190D8629">
        <w:tblPrEx>
          <w:tblCellMar>
            <w:top w:w="0" w:type="dxa"/>
            <w:left w:w="108" w:type="dxa"/>
            <w:bottom w:w="0" w:type="dxa"/>
            <w:right w:w="108" w:type="dxa"/>
          </w:tblCellMar>
        </w:tblPrEx>
        <w:trPr>
          <w:trHeight w:val="1837"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EB2D8">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EE12E">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5128">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2.5</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8175">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提供的设备为第一类医疗器械的，验收时应当提供医疗行业主管部门签发的有效的《医疗器械备案凭证》；</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提供的设备为第二、三类医疗器械的，应当提供医疗行业主管部门签发的涵盖</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提供设备的《医疗器械注册证》。</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1A1753CE">
        <w:tblPrEx>
          <w:tblCellMar>
            <w:top w:w="0" w:type="dxa"/>
            <w:left w:w="108" w:type="dxa"/>
            <w:bottom w:w="0" w:type="dxa"/>
            <w:right w:w="108" w:type="dxa"/>
          </w:tblCellMar>
        </w:tblPrEx>
        <w:trPr>
          <w:trHeight w:val="16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613ED">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1B091">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ABE8">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2.6</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D4A0">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在验收过程中，中标人需出具与设备制造商签订的与原合同条款一致的维保合同或原厂维保承诺函。</w:t>
            </w:r>
          </w:p>
        </w:tc>
      </w:tr>
      <w:tr w14:paraId="3A54117B">
        <w:tblPrEx>
          <w:tblCellMar>
            <w:top w:w="0" w:type="dxa"/>
            <w:left w:w="108" w:type="dxa"/>
            <w:bottom w:w="0" w:type="dxa"/>
            <w:right w:w="108" w:type="dxa"/>
          </w:tblCellMar>
        </w:tblPrEx>
        <w:trPr>
          <w:trHeight w:val="638"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3C76">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60D4F">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其他</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1FB1">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DA59">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须支持物联网协议，便于与医院信息系统的对接，按采购人要求无条件开放数据交换接口，并提供技术支持（中标</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不得向采购人收取额外的费用），并保证所使用软件的合法性，任何知识产权纠纷与采购人无关。</w:t>
            </w:r>
          </w:p>
        </w:tc>
      </w:tr>
      <w:tr w14:paraId="158FA8C5">
        <w:tblPrEx>
          <w:tblCellMar>
            <w:top w:w="0" w:type="dxa"/>
            <w:left w:w="108" w:type="dxa"/>
            <w:bottom w:w="0" w:type="dxa"/>
            <w:right w:w="108" w:type="dxa"/>
          </w:tblCellMar>
        </w:tblPrEx>
        <w:trPr>
          <w:trHeight w:val="972"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59530">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08A66">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3343">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59CA">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若所投产品为进口产品，投标人必须是所投产品的制造商或合法代理商或合法授权</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（提供相关证明扫描件）；若所投产品是国产产品（非进口产品），则投标人不需要提供其为所投产品的制造商或合法代理商或合法授权</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的证明。</w:t>
            </w:r>
          </w:p>
        </w:tc>
      </w:tr>
      <w:tr w14:paraId="7997775C">
        <w:tblPrEx>
          <w:tblCellMar>
            <w:top w:w="0" w:type="dxa"/>
            <w:left w:w="108" w:type="dxa"/>
            <w:bottom w:w="0" w:type="dxa"/>
            <w:right w:w="108" w:type="dxa"/>
          </w:tblCellMar>
        </w:tblPrEx>
        <w:trPr>
          <w:trHeight w:val="897"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A9DCC">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1DDC1">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F1FB">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F0C5">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若所投产品为进口产品，则投标人需提供由制造商或授权的中国总代理签署的合法有效的保修、维修承诺函（免费保修期满足招标文件要求）扫描件；若所投产品为国产产品，则无需提供。</w:t>
            </w:r>
          </w:p>
        </w:tc>
      </w:tr>
      <w:tr w14:paraId="06D257AF">
        <w:tblPrEx>
          <w:tblCellMar>
            <w:top w:w="0" w:type="dxa"/>
            <w:left w:w="108" w:type="dxa"/>
            <w:bottom w:w="0" w:type="dxa"/>
            <w:right w:w="108" w:type="dxa"/>
          </w:tblCellMar>
        </w:tblPrEx>
        <w:trPr>
          <w:trHeight w:val="713"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64208">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54EC6">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B562">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3.4</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1E66">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w:t>
            </w:r>
            <w:r>
              <w:rPr>
                <w:rFonts w:hint="eastAsia" w:ascii="仿宋_GB2312" w:hAnsi="宋体" w:eastAsia="仿宋_GB2312" w:cs="仿宋_GB2312"/>
                <w:color w:val="FF0000"/>
                <w:kern w:val="0"/>
                <w:sz w:val="24"/>
                <w:szCs w:val="24"/>
                <w:highlight w:val="yellow"/>
                <w:lang w:eastAsia="zh-CN" w:bidi="ar"/>
              </w:rPr>
              <w:t>投标人</w:t>
            </w:r>
            <w:r>
              <w:rPr>
                <w:rFonts w:hint="eastAsia" w:ascii="仿宋_GB2312" w:hAnsi="宋体" w:eastAsia="仿宋_GB2312" w:cs="仿宋_GB2312"/>
                <w:color w:val="FF0000"/>
                <w:kern w:val="0"/>
                <w:sz w:val="24"/>
                <w:szCs w:val="24"/>
                <w:highlight w:val="yellow"/>
                <w:lang w:bidi="ar"/>
              </w:rPr>
              <w:t>所提供的设备，若该设备配有专用的配套医用耗材，则此类耗材必须通过深圳市医用耗材阳光交易和监管平台进行交易，且供货价格必须遵循阳光平台所公布的最低成交价</w:t>
            </w:r>
            <w:r>
              <w:rPr>
                <w:rFonts w:hint="eastAsia" w:ascii="仿宋_GB2312" w:hAnsi="宋体" w:eastAsia="仿宋_GB2312" w:cs="仿宋_GB2312"/>
                <w:color w:val="000000"/>
                <w:kern w:val="0"/>
                <w:sz w:val="24"/>
                <w:szCs w:val="24"/>
                <w:lang w:bidi="ar"/>
              </w:rPr>
              <w:t>。</w:t>
            </w:r>
          </w:p>
        </w:tc>
      </w:tr>
      <w:tr w14:paraId="5DE79FCD">
        <w:tblPrEx>
          <w:tblCellMar>
            <w:top w:w="0" w:type="dxa"/>
            <w:left w:w="108" w:type="dxa"/>
            <w:bottom w:w="0" w:type="dxa"/>
            <w:right w:w="108" w:type="dxa"/>
          </w:tblCellMar>
        </w:tblPrEx>
        <w:trPr>
          <w:trHeight w:val="29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C375C">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F5BDE">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9457">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3.5</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D27E">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本次标的若包含软件服务，需本地化部署，并严格遵照《信息安全法》等相关法律法规，符合网络安全管理相关规定，所有数据未经采购方允许，不得向第三方私自泄漏。</w:t>
            </w:r>
          </w:p>
        </w:tc>
      </w:tr>
      <w:tr w14:paraId="01066775">
        <w:tblPrEx>
          <w:tblCellMar>
            <w:top w:w="0" w:type="dxa"/>
            <w:left w:w="108" w:type="dxa"/>
            <w:bottom w:w="0" w:type="dxa"/>
            <w:right w:w="108" w:type="dxa"/>
          </w:tblCellMar>
        </w:tblPrEx>
        <w:trPr>
          <w:trHeight w:val="92"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ABEF3">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4</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547D9">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关于付款</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4620">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F897">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合同生效后，货到指定地点，安装验收合格后，采购人收到投标人提供的相应金额合法有效发票后，支付合同总金额的100%。</w:t>
            </w:r>
          </w:p>
        </w:tc>
      </w:tr>
      <w:tr w14:paraId="3C60415B">
        <w:tblPrEx>
          <w:tblCellMar>
            <w:top w:w="0" w:type="dxa"/>
            <w:left w:w="108" w:type="dxa"/>
            <w:bottom w:w="0" w:type="dxa"/>
            <w:right w:w="108" w:type="dxa"/>
          </w:tblCellMar>
        </w:tblPrEx>
        <w:trPr>
          <w:trHeight w:val="106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CFF2E">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A181C">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95D2">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 xml:space="preserve">1.2 </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B4D5">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34DDE490">
        <w:tblPrEx>
          <w:tblCellMar>
            <w:top w:w="0" w:type="dxa"/>
            <w:left w:w="108" w:type="dxa"/>
            <w:bottom w:w="0" w:type="dxa"/>
            <w:right w:w="108" w:type="dxa"/>
          </w:tblCellMar>
        </w:tblPrEx>
        <w:trPr>
          <w:trHeight w:val="917"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BAA84">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475A0">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1C1F">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DB81">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若本项目财政下达的资金数额不足以支付合同约定的比例金额，采购人将按照实际财政下达的资金数额支付合同款，不足部分将待新的项目资金下达后进行支付。</w:t>
            </w:r>
          </w:p>
        </w:tc>
      </w:tr>
      <w:tr w14:paraId="022B664A">
        <w:tblPrEx>
          <w:tblCellMar>
            <w:top w:w="0" w:type="dxa"/>
            <w:left w:w="108" w:type="dxa"/>
            <w:bottom w:w="0" w:type="dxa"/>
            <w:right w:w="108" w:type="dxa"/>
          </w:tblCellMar>
        </w:tblPrEx>
        <w:trPr>
          <w:trHeight w:val="178"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F923C">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5</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781C4">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违约责任</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A3B1">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887A">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71F01D85">
        <w:tblPrEx>
          <w:tblCellMar>
            <w:top w:w="0" w:type="dxa"/>
            <w:left w:w="108" w:type="dxa"/>
            <w:bottom w:w="0" w:type="dxa"/>
            <w:right w:w="108" w:type="dxa"/>
          </w:tblCellMar>
        </w:tblPrEx>
        <w:trPr>
          <w:trHeight w:val="63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F25DB">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1B22E">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71DB">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9BB0">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由于投标人的原因未能按时交货的，每迟一天向采购人支付合同总额的0.5%违约金，如超过交货期10天，采购人有权终止合同并通过法律程序对投标人进行索赔。</w:t>
            </w:r>
          </w:p>
        </w:tc>
      </w:tr>
      <w:tr w14:paraId="7B456339">
        <w:tblPrEx>
          <w:tblCellMar>
            <w:top w:w="0" w:type="dxa"/>
            <w:left w:w="108" w:type="dxa"/>
            <w:bottom w:w="0" w:type="dxa"/>
            <w:right w:w="108" w:type="dxa"/>
          </w:tblCellMar>
        </w:tblPrEx>
        <w:trPr>
          <w:trHeight w:val="77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15243">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35DED">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5906">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A95A">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由于投标人的原因，在货到一周内未进行安装调试，或安装调试时间超过正常要求，按每超过一天按合同总额的0.5%向采购人支付违约金。情节严重者，将依法律程序对投标人进行索赔。</w:t>
            </w:r>
          </w:p>
        </w:tc>
      </w:tr>
    </w:tbl>
    <w:p w14:paraId="00447016">
      <w:pPr>
        <w:pStyle w:val="2"/>
        <w:numPr>
          <w:ilvl w:val="0"/>
          <w:numId w:val="0"/>
        </w:numPr>
        <w:spacing w:before="0" w:after="0" w:line="240" w:lineRule="auto"/>
        <w:rPr>
          <w:rFonts w:hint="eastAsia" w:ascii="仿宋" w:hAnsi="仿宋" w:eastAsia="仿宋"/>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w:t>
      </w:r>
      <w:r>
        <w:rPr>
          <w:rFonts w:hint="eastAsia" w:ascii="仿宋" w:hAnsi="仿宋" w:eastAsia="仿宋"/>
          <w:sz w:val="28"/>
          <w:szCs w:val="28"/>
        </w:rPr>
        <w:t>评审规则</w:t>
      </w:r>
      <w:r>
        <w:rPr>
          <w:rFonts w:hint="eastAsia" w:ascii="仿宋" w:hAnsi="仿宋" w:eastAsia="仿宋"/>
          <w:sz w:val="28"/>
          <w:szCs w:val="28"/>
          <w:lang w:eastAsia="zh-CN"/>
        </w:rPr>
        <w:t>：</w:t>
      </w:r>
    </w:p>
    <w:p w14:paraId="7D98FF9F">
      <w:pPr>
        <w:adjustRightInd w:val="0"/>
        <w:snapToGrid w:val="0"/>
        <w:jc w:val="left"/>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评标方法：</w:t>
      </w:r>
      <w:r>
        <w:rPr>
          <w:rFonts w:hint="eastAsia" w:ascii="仿宋" w:hAnsi="仿宋" w:eastAsia="仿宋"/>
          <w:sz w:val="28"/>
          <w:szCs w:val="28"/>
          <w:lang w:eastAsia="zh-CN"/>
        </w:rPr>
        <w:t>☑</w:t>
      </w:r>
      <w:r>
        <w:rPr>
          <w:rFonts w:hint="eastAsia" w:ascii="仿宋" w:hAnsi="仿宋" w:eastAsia="仿宋"/>
          <w:sz w:val="28"/>
          <w:szCs w:val="28"/>
        </w:rPr>
        <w:t>综合评分法、□最低评标价法</w:t>
      </w:r>
    </w:p>
    <w:p w14:paraId="7F8446B4">
      <w:pPr>
        <w:adjustRightInd w:val="0"/>
        <w:snapToGrid w:val="0"/>
        <w:jc w:val="left"/>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EC6C9AF1"/>
    <w:multiLevelType w:val="singleLevel"/>
    <w:tmpl w:val="EC6C9AF1"/>
    <w:lvl w:ilvl="0" w:tentative="0">
      <w:start w:val="1"/>
      <w:numFmt w:val="chineseCounting"/>
      <w:suff w:val="nothing"/>
      <w:lvlText w:val="（%1）"/>
      <w:lvlJc w:val="left"/>
      <w:rPr>
        <w:rFonts w:hint="eastAsia"/>
      </w:rPr>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4D2419"/>
    <w:multiLevelType w:val="singleLevel"/>
    <w:tmpl w:val="4F4D2419"/>
    <w:lvl w:ilvl="0" w:tentative="0">
      <w:start w:val="1"/>
      <w:numFmt w:val="decimal"/>
      <w:lvlText w:val="(%1)"/>
      <w:lvlJc w:val="left"/>
      <w:pPr>
        <w:ind w:left="425" w:hanging="425"/>
      </w:pPr>
      <w:rPr>
        <w:rFonts w:hint="default"/>
      </w:rPr>
    </w:lvl>
  </w:abstractNum>
  <w:abstractNum w:abstractNumId="6">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B97AED"/>
    <w:rsid w:val="00C9106E"/>
    <w:rsid w:val="00F43941"/>
    <w:rsid w:val="014C4DA3"/>
    <w:rsid w:val="02217FDE"/>
    <w:rsid w:val="02917F74"/>
    <w:rsid w:val="03C50E3C"/>
    <w:rsid w:val="049F51EA"/>
    <w:rsid w:val="063F4ED6"/>
    <w:rsid w:val="07F341CA"/>
    <w:rsid w:val="0C2B3807"/>
    <w:rsid w:val="0C6A7D1D"/>
    <w:rsid w:val="0CC4107D"/>
    <w:rsid w:val="0D532C76"/>
    <w:rsid w:val="0FF22FB9"/>
    <w:rsid w:val="134C478E"/>
    <w:rsid w:val="162023F7"/>
    <w:rsid w:val="169923E1"/>
    <w:rsid w:val="16E15B36"/>
    <w:rsid w:val="1B50328A"/>
    <w:rsid w:val="1C2362A8"/>
    <w:rsid w:val="1C4A5F2B"/>
    <w:rsid w:val="1E472722"/>
    <w:rsid w:val="1E5D0198"/>
    <w:rsid w:val="221943D6"/>
    <w:rsid w:val="233A2855"/>
    <w:rsid w:val="268A3AF4"/>
    <w:rsid w:val="2A663F30"/>
    <w:rsid w:val="2B033E75"/>
    <w:rsid w:val="2BA07916"/>
    <w:rsid w:val="2BAE2033"/>
    <w:rsid w:val="2CBA4A07"/>
    <w:rsid w:val="30D81900"/>
    <w:rsid w:val="312A0667"/>
    <w:rsid w:val="31BC3D81"/>
    <w:rsid w:val="32D3412D"/>
    <w:rsid w:val="345D1B1D"/>
    <w:rsid w:val="386B2CF7"/>
    <w:rsid w:val="388678B0"/>
    <w:rsid w:val="39FC665F"/>
    <w:rsid w:val="3BE455FD"/>
    <w:rsid w:val="3F786788"/>
    <w:rsid w:val="3FC217B1"/>
    <w:rsid w:val="418F2299"/>
    <w:rsid w:val="42C121F4"/>
    <w:rsid w:val="466E2692"/>
    <w:rsid w:val="47887784"/>
    <w:rsid w:val="47946129"/>
    <w:rsid w:val="4BF54CBC"/>
    <w:rsid w:val="4C4243A5"/>
    <w:rsid w:val="4F624D5E"/>
    <w:rsid w:val="4F895E47"/>
    <w:rsid w:val="51C413B8"/>
    <w:rsid w:val="539D45B7"/>
    <w:rsid w:val="53E144A4"/>
    <w:rsid w:val="55A7171D"/>
    <w:rsid w:val="55AE2AAB"/>
    <w:rsid w:val="569A5A4B"/>
    <w:rsid w:val="582157B7"/>
    <w:rsid w:val="586D36FF"/>
    <w:rsid w:val="59266DFD"/>
    <w:rsid w:val="5A971D60"/>
    <w:rsid w:val="5AC70E42"/>
    <w:rsid w:val="5E4D101A"/>
    <w:rsid w:val="5F0674B4"/>
    <w:rsid w:val="651A5A67"/>
    <w:rsid w:val="670C5884"/>
    <w:rsid w:val="67BF46A4"/>
    <w:rsid w:val="696F3EA8"/>
    <w:rsid w:val="6AE508C6"/>
    <w:rsid w:val="6C70102E"/>
    <w:rsid w:val="6D282CEC"/>
    <w:rsid w:val="6E0472B5"/>
    <w:rsid w:val="6EF966EE"/>
    <w:rsid w:val="6F1057E5"/>
    <w:rsid w:val="706B361B"/>
    <w:rsid w:val="737E18B7"/>
    <w:rsid w:val="74974D88"/>
    <w:rsid w:val="74B15375"/>
    <w:rsid w:val="7A124B07"/>
    <w:rsid w:val="7A684727"/>
    <w:rsid w:val="7AA8546C"/>
    <w:rsid w:val="7AB06BB7"/>
    <w:rsid w:val="7B7D06A6"/>
    <w:rsid w:val="7C85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left="704" w:hanging="420"/>
    </w:pPr>
    <w:rPr>
      <w:rFonts w:ascii="Times New Roman" w:hAnsi="Times New Roman" w:eastAsia="黑体" w:cs="Times New Roman"/>
      <w:sz w:val="32"/>
      <w:szCs w:val="24"/>
    </w:rPr>
  </w:style>
  <w:style w:type="character" w:customStyle="1" w:styleId="11">
    <w:name w:val="标题 1 字符"/>
    <w:basedOn w:val="7"/>
    <w:link w:val="2"/>
    <w:qFormat/>
    <w:uiPriority w:val="9"/>
    <w:rPr>
      <w:b/>
      <w:bCs/>
      <w:kern w:val="44"/>
      <w:sz w:val="44"/>
      <w:szCs w:val="44"/>
    </w:rPr>
  </w:style>
  <w:style w:type="character" w:customStyle="1" w:styleId="12">
    <w:name w:val="font21"/>
    <w:basedOn w:val="7"/>
    <w:autoRedefine/>
    <w:qFormat/>
    <w:uiPriority w:val="0"/>
    <w:rPr>
      <w:rFonts w:hint="eastAsia" w:ascii="仿宋_GB2312" w:eastAsia="仿宋_GB2312" w:cs="仿宋_GB2312"/>
      <w:b/>
      <w:bCs/>
      <w:color w:val="000000"/>
      <w:sz w:val="28"/>
      <w:szCs w:val="28"/>
      <w:u w:val="none"/>
    </w:rPr>
  </w:style>
  <w:style w:type="character" w:customStyle="1" w:styleId="13">
    <w:name w:val="font31"/>
    <w:basedOn w:val="7"/>
    <w:autoRedefine/>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1775</Words>
  <Characters>1916</Characters>
  <Lines>7</Lines>
  <Paragraphs>2</Paragraphs>
  <TotalTime>2</TotalTime>
  <ScaleCrop>false</ScaleCrop>
  <LinksUpToDate>false</LinksUpToDate>
  <CharactersWithSpaces>1946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skrmyy</cp:lastModifiedBy>
  <dcterms:modified xsi:type="dcterms:W3CDTF">2025-03-12T08:21:11Z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3BF8C8F06CFE4B3AB9195DC92B8A3570_12</vt:lpwstr>
  </property>
  <property fmtid="{D5CDD505-2E9C-101B-9397-08002B2CF9AE}" pid="4" name="KSOTemplateDocerSaveRecord">
    <vt:lpwstr>eyJoZGlkIjoiOTgxNzhhZWVjZDVjYzFiNzUyN2FlYmU1YTIwNTA2N2MifQ==</vt:lpwstr>
  </property>
</Properties>
</file>