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3"/>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9F76D04">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：深圳市前海蛇口自贸医院内科综合大楼第三方查验评估服务</w:t>
      </w:r>
    </w:p>
    <w:p w14:paraId="3159F1BD">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200000.00元</w:t>
      </w:r>
    </w:p>
    <w:p w14:paraId="752E2AC0">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：总价</w:t>
      </w:r>
    </w:p>
    <w:p w14:paraId="43A2033A">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5B3EB997">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（费用支付单</w:t>
      </w:r>
      <w:r>
        <w:rPr>
          <w:rFonts w:hint="eastAsia" w:ascii="仿宋_GB2312" w:hAnsi="仿宋_GB2312" w:eastAsia="仿宋_GB2312" w:cs="仿宋_GB2312"/>
          <w:kern w:val="0"/>
          <w:sz w:val="28"/>
          <w:szCs w:val="28"/>
          <w:lang w:val="en-US" w:eastAsia="zh-CN"/>
        </w:rPr>
        <w:t>-附件2</w:t>
      </w:r>
      <w:r>
        <w:rPr>
          <w:rFonts w:hint="eastAsia" w:ascii="仿宋_GB2312" w:hAnsi="仿宋_GB2312" w:eastAsia="仿宋_GB2312" w:cs="仿宋_GB2312"/>
          <w:kern w:val="0"/>
          <w:sz w:val="28"/>
          <w:szCs w:val="28"/>
          <w:lang w:eastAsia="zh-CN"/>
        </w:rPr>
        <w:t>）：后勤保障部--院内零星工程列支</w:t>
      </w:r>
    </w:p>
    <w:p w14:paraId="0444FBD3">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采购类别（货物/服务/工程）：服务</w:t>
      </w:r>
    </w:p>
    <w:p w14:paraId="394FBE4B">
      <w:pPr>
        <w:pStyle w:val="13"/>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pStyle w:val="13"/>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 xml:space="preserve"> 合格。</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41D03029">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55EE44AB">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8"/>
        <w:tblW w:w="7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2088"/>
        <w:gridCol w:w="1145"/>
        <w:gridCol w:w="968"/>
        <w:gridCol w:w="1324"/>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104"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088"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145"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324"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04" w:type="dxa"/>
            <w:shd w:val="clear" w:color="auto" w:fill="FFFFFF"/>
            <w:tcMar>
              <w:top w:w="0" w:type="dxa"/>
              <w:right w:w="0" w:type="dxa"/>
            </w:tcMar>
            <w:vAlign w:val="center"/>
          </w:tcPr>
          <w:p w14:paraId="08ED1AE2">
            <w:pPr>
              <w:pStyle w:val="13"/>
              <w:widowControl/>
              <w:numPr>
                <w:ilvl w:val="0"/>
                <w:numId w:val="0"/>
              </w:numPr>
              <w:spacing w:line="360" w:lineRule="auto"/>
              <w:ind w:leftChars="0"/>
              <w:jc w:val="left"/>
              <w:rPr>
                <w:rFonts w:hint="eastAsia" w:ascii="仿宋_GB2312" w:hAnsi="仿宋_GB2312" w:eastAsia="仿宋_GB2312" w:cs="仿宋_GB2312"/>
                <w:color w:val="5E6B87"/>
                <w:kern w:val="0"/>
                <w:sz w:val="28"/>
                <w:szCs w:val="28"/>
              </w:rPr>
            </w:pPr>
            <w:bookmarkStart w:id="0" w:name="_GoBack"/>
            <w:r>
              <w:rPr>
                <w:rFonts w:hint="eastAsia" w:ascii="仿宋_GB2312" w:hAnsi="仿宋_GB2312" w:eastAsia="仿宋_GB2312" w:cs="仿宋_GB2312"/>
                <w:kern w:val="0"/>
                <w:sz w:val="28"/>
                <w:szCs w:val="28"/>
                <w:lang w:eastAsia="zh-CN"/>
              </w:rPr>
              <w:t>深圳市前海蛇口自贸医院内科综合大楼第三方查验评估服务</w:t>
            </w:r>
          </w:p>
        </w:tc>
        <w:tc>
          <w:tcPr>
            <w:tcW w:w="2088"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工程项目管理服务</w:t>
            </w:r>
          </w:p>
        </w:tc>
        <w:tc>
          <w:tcPr>
            <w:tcW w:w="1145"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5E6B87"/>
                <w:kern w:val="0"/>
                <w:sz w:val="28"/>
                <w:szCs w:val="28"/>
                <w:lang w:eastAsia="zh-CN"/>
              </w:rPr>
            </w:pPr>
            <w:r>
              <w:rPr>
                <w:rFonts w:hint="eastAsia" w:ascii="仿宋_GB2312" w:hAnsi="仿宋_GB2312" w:eastAsia="仿宋_GB2312" w:cs="仿宋_GB2312"/>
                <w:color w:val="5E6B87"/>
                <w:kern w:val="0"/>
                <w:sz w:val="28"/>
                <w:szCs w:val="28"/>
                <w:lang w:eastAsia="zh-CN"/>
              </w:rPr>
              <w:t>元</w:t>
            </w:r>
          </w:p>
        </w:tc>
        <w:tc>
          <w:tcPr>
            <w:tcW w:w="968" w:type="dxa"/>
            <w:shd w:val="clear" w:color="auto" w:fill="FFFFFF"/>
            <w:vAlign w:val="center"/>
          </w:tcPr>
          <w:p w14:paraId="6888F0B6">
            <w:pPr>
              <w:autoSpaceDE w:val="0"/>
              <w:autoSpaceDN w:val="0"/>
              <w:adjustRightInd w:val="0"/>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项</w:t>
            </w:r>
          </w:p>
        </w:tc>
        <w:tc>
          <w:tcPr>
            <w:tcW w:w="1324"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200000</w:t>
            </w:r>
          </w:p>
        </w:tc>
      </w:tr>
      <w:bookmarkEnd w:id="0"/>
    </w:tbl>
    <w:p w14:paraId="0E3F5DE1">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66FFC5E8">
      <w:pPr>
        <w:autoSpaceDE w:val="0"/>
        <w:autoSpaceDN w:val="0"/>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 w:hAnsi="仿宋" w:eastAsia="仿宋"/>
          <w:kern w:val="0"/>
          <w:sz w:val="28"/>
          <w:szCs w:val="28"/>
        </w:rPr>
        <w:t>在中华人民共和国境内注册，具有与本项目</w:t>
      </w:r>
      <w:r>
        <w:rPr>
          <w:rFonts w:hint="eastAsia" w:ascii="仿宋" w:hAnsi="仿宋" w:eastAsia="仿宋"/>
          <w:kern w:val="0"/>
          <w:sz w:val="28"/>
          <w:szCs w:val="28"/>
        </w:rPr>
        <w:t>招标范围</w:t>
      </w:r>
      <w:r>
        <w:rPr>
          <w:rFonts w:ascii="仿宋" w:hAnsi="仿宋" w:eastAsia="仿宋"/>
          <w:kern w:val="0"/>
          <w:sz w:val="28"/>
          <w:szCs w:val="28"/>
        </w:rPr>
        <w:t>相关的经营范围，</w:t>
      </w:r>
      <w:r>
        <w:rPr>
          <w:rFonts w:hint="eastAsia" w:ascii="仿宋" w:hAnsi="仿宋" w:eastAsia="仿宋"/>
          <w:kern w:val="0"/>
          <w:sz w:val="28"/>
          <w:szCs w:val="28"/>
        </w:rPr>
        <w:t>不</w:t>
      </w:r>
      <w:r>
        <w:rPr>
          <w:rFonts w:ascii="仿宋" w:hAnsi="仿宋" w:eastAsia="仿宋"/>
          <w:kern w:val="0"/>
          <w:sz w:val="28"/>
          <w:szCs w:val="28"/>
        </w:rPr>
        <w:t>接受联合体投标。</w:t>
      </w:r>
    </w:p>
    <w:p w14:paraId="44E3E37F">
      <w:pPr>
        <w:pStyle w:val="13"/>
        <w:widowControl/>
        <w:numPr>
          <w:ilvl w:val="0"/>
          <w:numId w:val="0"/>
        </w:numPr>
        <w:spacing w:line="360" w:lineRule="auto"/>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（2）参与本项目政府采购活动时不存在被有关部门禁止参与政府采购活动且在有效期内的情况（须按本项目投标文件格式要求提供《政府采购投标及履约承诺函》加盖投标人公章）；</w:t>
      </w:r>
    </w:p>
    <w:p w14:paraId="0E5D2538">
      <w:pPr>
        <w:pStyle w:val="13"/>
        <w:widowControl/>
        <w:numPr>
          <w:ilvl w:val="0"/>
          <w:numId w:val="0"/>
        </w:numPr>
        <w:spacing w:line="360" w:lineRule="auto"/>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（3）为采购项目提供设计或者项目管理、监理、检测等服务的供应商，不得再参加该项目的采购活动；</w:t>
      </w:r>
    </w:p>
    <w:p w14:paraId="2BC8A1DF">
      <w:pPr>
        <w:pStyle w:val="13"/>
        <w:widowControl/>
        <w:numPr>
          <w:ilvl w:val="0"/>
          <w:numId w:val="0"/>
        </w:numPr>
        <w:spacing w:line="360" w:lineRule="auto"/>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EEEB5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50570C2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firstLine="560" w:firstLineChars="200"/>
        <w:textAlignment w:val="auto"/>
        <w:rPr>
          <w:rFonts w:hint="eastAsia" w:ascii="仿宋" w:hAnsi="仿宋" w:eastAsia="仿宋" w:cs="仿宋"/>
          <w:color w:val="auto"/>
          <w:sz w:val="28"/>
          <w:szCs w:val="28"/>
          <w:lang w:val="en-US" w:eastAsia="zh-CN"/>
        </w:rPr>
      </w:pPr>
    </w:p>
    <w:p w14:paraId="3081C1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项目概况：</w:t>
      </w:r>
      <w:r>
        <w:rPr>
          <w:rFonts w:hint="eastAsia" w:ascii="方正仿宋_GB2312" w:hAnsi="方正仿宋_GB2312" w:eastAsia="方正仿宋_GB2312" w:cs="方正仿宋_GB2312"/>
          <w:sz w:val="28"/>
          <w:szCs w:val="28"/>
          <w:lang w:val="en-US" w:eastAsia="zh-CN"/>
        </w:rPr>
        <w:t>深圳市前海蛇口自贸区医院新建内科综合大楼，占地面积约 10558 平方米，建筑面积 91900 平方米，地上 22 层，地下3层，停车位 420个，规划床位800床。</w:t>
      </w:r>
    </w:p>
    <w:p w14:paraId="7DC6E83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firstLine="560" w:firstLineChars="200"/>
        <w:textAlignment w:val="auto"/>
        <w:rPr>
          <w:rFonts w:hint="eastAsia"/>
          <w:b w:val="0"/>
          <w:bCs w:val="0"/>
          <w:lang w:eastAsia="zh-CN"/>
        </w:rPr>
      </w:pPr>
      <w:r>
        <w:rPr>
          <w:rFonts w:hint="eastAsia" w:ascii="仿宋" w:hAnsi="仿宋" w:eastAsia="仿宋" w:cs="仿宋"/>
          <w:color w:val="auto"/>
          <w:sz w:val="28"/>
          <w:szCs w:val="28"/>
          <w:lang w:val="en-US" w:eastAsia="zh-CN"/>
        </w:rPr>
        <w:t>针对</w:t>
      </w:r>
      <w:r>
        <w:rPr>
          <w:rFonts w:hint="eastAsia" w:ascii="仿宋" w:hAnsi="仿宋" w:eastAsia="仿宋" w:cs="仿宋"/>
          <w:bCs/>
          <w:color w:val="auto"/>
          <w:sz w:val="28"/>
          <w:szCs w:val="28"/>
          <w:highlight w:val="none"/>
          <w:lang w:val="en-US" w:eastAsia="zh-CN"/>
        </w:rPr>
        <w:t>蛇口医院内科综合大楼项目</w:t>
      </w:r>
      <w:r>
        <w:rPr>
          <w:rFonts w:hint="eastAsia" w:ascii="仿宋" w:hAnsi="仿宋" w:eastAsia="仿宋" w:cs="仿宋"/>
          <w:color w:val="auto"/>
          <w:sz w:val="28"/>
          <w:szCs w:val="28"/>
        </w:rPr>
        <w:t>现场情况，</w:t>
      </w:r>
      <w:r>
        <w:rPr>
          <w:rFonts w:hint="eastAsia" w:ascii="仿宋" w:hAnsi="仿宋" w:eastAsia="仿宋" w:cs="仿宋"/>
          <w:color w:val="auto"/>
          <w:sz w:val="28"/>
          <w:szCs w:val="28"/>
          <w:lang w:val="en-US" w:eastAsia="zh-CN"/>
        </w:rPr>
        <w:t>以及业主后期运营风险隐患等角度对</w:t>
      </w:r>
      <w:r>
        <w:rPr>
          <w:rFonts w:hint="eastAsia" w:ascii="仿宋" w:hAnsi="仿宋" w:eastAsia="仿宋" w:cs="仿宋"/>
          <w:color w:val="auto"/>
          <w:sz w:val="28"/>
          <w:szCs w:val="28"/>
        </w:rPr>
        <w:t>下列</w:t>
      </w:r>
      <w:r>
        <w:rPr>
          <w:rFonts w:hint="eastAsia" w:ascii="仿宋" w:hAnsi="仿宋" w:eastAsia="仿宋" w:cs="仿宋"/>
          <w:color w:val="auto"/>
          <w:sz w:val="28"/>
          <w:szCs w:val="28"/>
          <w:lang w:val="en-US" w:eastAsia="zh-CN"/>
        </w:rPr>
        <w:t>各专项</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现场</w:t>
      </w:r>
      <w:r>
        <w:rPr>
          <w:rFonts w:hint="eastAsia" w:ascii="仿宋" w:hAnsi="仿宋" w:eastAsia="仿宋" w:cs="仿宋"/>
          <w:color w:val="auto"/>
          <w:sz w:val="28"/>
          <w:szCs w:val="28"/>
        </w:rPr>
        <w:t>查验评估并出具</w:t>
      </w:r>
      <w:r>
        <w:rPr>
          <w:rFonts w:hint="eastAsia" w:ascii="仿宋" w:hAnsi="仿宋" w:eastAsia="仿宋" w:cs="仿宋"/>
          <w:color w:val="auto"/>
          <w:sz w:val="28"/>
          <w:szCs w:val="28"/>
          <w:lang w:val="en-US" w:eastAsia="zh-CN"/>
        </w:rPr>
        <w:t>评估</w:t>
      </w:r>
      <w:r>
        <w:rPr>
          <w:rFonts w:hint="eastAsia" w:ascii="仿宋" w:hAnsi="仿宋" w:eastAsia="仿宋" w:cs="仿宋"/>
          <w:color w:val="auto"/>
          <w:sz w:val="28"/>
          <w:szCs w:val="28"/>
        </w:rPr>
        <w:t>报告。</w:t>
      </w:r>
    </w:p>
    <w:p w14:paraId="0B6ED3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黑体" w:hAnsi="黑体" w:eastAsia="黑体" w:cs="黑体"/>
          <w:b/>
          <w:bCs/>
          <w:color w:val="0000FF"/>
          <w:sz w:val="28"/>
          <w:szCs w:val="28"/>
          <w:lang w:val="en-US" w:eastAsia="zh-CN"/>
        </w:rPr>
      </w:pPr>
      <w:r>
        <w:rPr>
          <w:rFonts w:hint="eastAsia" w:ascii="黑体" w:hAnsi="黑体" w:eastAsia="黑体" w:cs="黑体"/>
          <w:b/>
          <w:bCs/>
          <w:sz w:val="28"/>
          <w:szCs w:val="28"/>
          <w:lang w:val="en-US" w:eastAsia="zh-CN"/>
        </w:rPr>
        <w:t>现场专业人员查验现场报告：</w:t>
      </w:r>
      <w:r>
        <w:rPr>
          <w:rFonts w:hint="eastAsia" w:ascii="黑体" w:hAnsi="黑体" w:eastAsia="黑体" w:cs="黑体"/>
          <w:b/>
          <w:bCs/>
          <w:color w:val="0000FF"/>
          <w:sz w:val="28"/>
          <w:szCs w:val="28"/>
          <w:lang w:val="en-US" w:eastAsia="zh-CN"/>
        </w:rPr>
        <w:t>（须签订合同10天内出具）</w:t>
      </w:r>
    </w:p>
    <w:p w14:paraId="3DBA94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查验标准：深圳地方标准《新建（改扩建）医院建筑业主验收评估技术指南》（DB4403/T 387—2023）、国标标准规范、图纸要求、材料标准等要求。本次交付查验主要分为以下几个专项查验：</w:t>
      </w:r>
    </w:p>
    <w:p w14:paraId="5F316660">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验收评估常用资料查验；</w:t>
      </w:r>
    </w:p>
    <w:p w14:paraId="5232EAC6">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房屋本体和公共设施（幕墙、结构、精装）；</w:t>
      </w:r>
    </w:p>
    <w:p w14:paraId="44E8B3C2">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强电系统；</w:t>
      </w:r>
    </w:p>
    <w:p w14:paraId="30347B8B">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弱电智能化系统；</w:t>
      </w:r>
    </w:p>
    <w:p w14:paraId="3772F5B4">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给排水系统（含纯水）；</w:t>
      </w:r>
    </w:p>
    <w:p w14:paraId="733F21D5">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空调通风系统；</w:t>
      </w:r>
    </w:p>
    <w:p w14:paraId="1109CD20">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医疗专项工程（净化工程）；</w:t>
      </w:r>
    </w:p>
    <w:p w14:paraId="370FDB47">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医气系统；</w:t>
      </w:r>
    </w:p>
    <w:p w14:paraId="2B296003">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电梯设施设备；</w:t>
      </w:r>
    </w:p>
    <w:p w14:paraId="7550424F">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消防系统；</w:t>
      </w:r>
    </w:p>
    <w:p w14:paraId="03B64C3D">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安防设施设备；</w:t>
      </w:r>
    </w:p>
    <w:p w14:paraId="09B4CE0F">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防辐射与磁屏蔽工程；</w:t>
      </w:r>
    </w:p>
    <w:p w14:paraId="1DA1B60D">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物流系统；</w:t>
      </w:r>
    </w:p>
    <w:p w14:paraId="2CFAB766">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垃圾被服设施；</w:t>
      </w:r>
    </w:p>
    <w:p w14:paraId="1ABE9465">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医院建筑感染预防与控制验收评估表。</w:t>
      </w:r>
    </w:p>
    <w:p w14:paraId="4436507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【交付成果】：</w:t>
      </w:r>
    </w:p>
    <w:p w14:paraId="1A82E0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①</w:t>
      </w:r>
      <w:r>
        <w:rPr>
          <w:rFonts w:hint="eastAsia" w:ascii="方正仿宋_GB2312" w:hAnsi="方正仿宋_GB2312" w:eastAsia="方正仿宋_GB2312" w:cs="方正仿宋_GB2312"/>
          <w:color w:val="auto"/>
          <w:sz w:val="28"/>
          <w:szCs w:val="28"/>
          <w:lang w:val="en-US" w:eastAsia="zh-CN"/>
        </w:rPr>
        <w:t>风险评估清单；②检查记录；③问题项检查日报汇报；④查验影像全程记录。</w:t>
      </w:r>
    </w:p>
    <w:p w14:paraId="2EA085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8"/>
          <w:szCs w:val="28"/>
          <w:lang w:val="en-US" w:eastAsia="zh-CN"/>
        </w:rPr>
      </w:pPr>
    </w:p>
    <w:p w14:paraId="524D746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驻场销项技术咨询服务：</w:t>
      </w:r>
      <w:r>
        <w:rPr>
          <w:rFonts w:hint="eastAsia" w:ascii="黑体" w:hAnsi="黑体" w:eastAsia="黑体" w:cs="黑体"/>
          <w:b/>
          <w:bCs/>
          <w:color w:val="0000FF"/>
          <w:sz w:val="28"/>
          <w:szCs w:val="28"/>
          <w:lang w:val="en-US" w:eastAsia="zh-CN"/>
        </w:rPr>
        <w:t>（须签订合同20天内完成）</w:t>
      </w:r>
    </w:p>
    <w:p w14:paraId="663509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提供检测数据，输出可落地的整改方案</w:t>
      </w:r>
    </w:p>
    <w:p w14:paraId="08C0CC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（1）分层级报告： 分项查验报告和总体验收报告（汇总所有问题，标注风险等级：高/中/低，规范依据，整改建议）。</w:t>
      </w:r>
    </w:p>
    <w:p w14:paraId="7A7270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（2）数据可视化：通过图表展示关键指标直观呈现查验结果。</w:t>
      </w:r>
    </w:p>
    <w:p w14:paraId="693C2DF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（3）整改建议与规范依据：针对每个问题提供具体整改措施、建议整改时限等。</w:t>
      </w:r>
    </w:p>
    <w:p w14:paraId="3B72109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（5）总结与过程汇报：组织人员对交付查验情况进行系统的分析总结汇报，直观客观以第三方视角反馈问题与提出改善建议。</w:t>
      </w:r>
    </w:p>
    <w:p w14:paraId="62F8BB3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bCs/>
          <w:color w:val="auto"/>
          <w:sz w:val="28"/>
          <w:szCs w:val="28"/>
          <w:lang w:val="en-US" w:eastAsia="zh-CN"/>
        </w:rPr>
      </w:pPr>
    </w:p>
    <w:p w14:paraId="64A271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0000FF"/>
          <w:sz w:val="28"/>
          <w:szCs w:val="28"/>
          <w:lang w:val="en-US" w:eastAsia="zh-CN"/>
        </w:rPr>
      </w:pPr>
      <w:r>
        <w:rPr>
          <w:rFonts w:hint="eastAsia" w:ascii="黑体" w:hAnsi="黑体" w:eastAsia="黑体" w:cs="黑体"/>
          <w:b/>
          <w:bCs/>
          <w:color w:val="auto"/>
          <w:sz w:val="28"/>
          <w:szCs w:val="28"/>
          <w:lang w:val="en-US" w:eastAsia="zh-CN"/>
        </w:rPr>
        <w:t>整个项目的PPT总结和汇报：</w:t>
      </w:r>
      <w:r>
        <w:rPr>
          <w:rFonts w:hint="eastAsia" w:ascii="黑体" w:hAnsi="黑体" w:eastAsia="黑体" w:cs="黑体"/>
          <w:b/>
          <w:bCs/>
          <w:color w:val="0000FF"/>
          <w:sz w:val="28"/>
          <w:szCs w:val="28"/>
          <w:lang w:val="en-US" w:eastAsia="zh-CN"/>
        </w:rPr>
        <w:t>（签订合同30天内完成）</w:t>
      </w:r>
    </w:p>
    <w:p w14:paraId="1193C7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出具整个项目的总结汇报，助力医院解决查验后整改落地问题。</w:t>
      </w:r>
    </w:p>
    <w:p w14:paraId="039BF2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（1）现场整改指导：派技术人员配合医院与相关单位沟通，解释问题成因，指导整改技术要点。</w:t>
      </w:r>
    </w:p>
    <w:p w14:paraId="39BBA01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（2）复验服务：整改完成后，对不合格项进行复验，确保问题解决。</w:t>
      </w:r>
    </w:p>
    <w:p w14:paraId="6AE753F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lang w:val="en-US" w:eastAsia="zh-CN"/>
        </w:rPr>
      </w:pPr>
    </w:p>
    <w:p w14:paraId="3E7F7BF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人员要求：</w:t>
      </w:r>
    </w:p>
    <w:p w14:paraId="117325A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（1）投标人应组建相对固定的服务团队，且为投标人聘用员工。</w:t>
      </w:r>
    </w:p>
    <w:p w14:paraId="1CC3EB9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（2）项目实施过程中，项目负责人应严格按照项目工地安全管理相关制度与要求，严格管控项目组成员，做好工地安全培训，确保安全无事故。</w:t>
      </w:r>
    </w:p>
    <w:p w14:paraId="1C7047B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（4）项目负责人应严格把控查验评估工作的时间安排及进度，同时，有责任监督管理项目组的工作质量，确保在招标方要求服务周期内按质按量完成相关工作。</w:t>
      </w:r>
    </w:p>
    <w:p w14:paraId="5B406E4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（5）主要查验人员专业要求：包括但不限于土建、结构系统、幕墙系统、精装系统、强电系统、弱电智能化系统、暖通系统、给排水系统等。</w:t>
      </w:r>
    </w:p>
    <w:p w14:paraId="4343410E">
      <w:pPr>
        <w:pStyle w:val="2"/>
        <w:rPr>
          <w:rFonts w:hint="eastAsia"/>
          <w:color w:val="0000FF"/>
        </w:rPr>
      </w:pPr>
      <w:r>
        <w:rPr>
          <w:rFonts w:hint="eastAsia" w:ascii="仿宋" w:hAnsi="仿宋" w:eastAsia="仿宋" w:cs="仿宋"/>
          <w:color w:val="0000FF"/>
          <w:sz w:val="28"/>
          <w:szCs w:val="28"/>
          <w:lang w:val="en-US" w:eastAsia="zh-CN"/>
        </w:rPr>
        <w:t>（6）中标人的项目负责人须在本院驻点，直至项目服务期结束，配合院方项目对接各参建单位。如需专业工程师到场提供咨询意见，须在24小时内响应到达项目现场。</w:t>
      </w:r>
    </w:p>
    <w:p w14:paraId="21230C9A">
      <w:pPr>
        <w:numPr>
          <w:ilvl w:val="0"/>
          <w:numId w:val="7"/>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58A72CB6">
      <w:pPr>
        <w:numPr>
          <w:ilvl w:val="0"/>
          <w:numId w:val="8"/>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30日历天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206B3360">
      <w:pPr>
        <w:numPr>
          <w:ilvl w:val="0"/>
          <w:numId w:val="8"/>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lang w:eastAsia="zh-CN"/>
        </w:rPr>
        <w:t>深圳市南山区工业七路</w:t>
      </w:r>
      <w:r>
        <w:rPr>
          <w:rFonts w:hint="eastAsia" w:ascii="仿宋_GB2312" w:hAnsi="仿宋_GB2312" w:eastAsia="仿宋_GB2312" w:cs="仿宋_GB2312"/>
          <w:sz w:val="28"/>
          <w:szCs w:val="28"/>
          <w:u w:val="single"/>
          <w:lang w:val="en-US" w:eastAsia="zh-CN"/>
        </w:rPr>
        <w:t>128号前海蛇口自贸区医院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B9E9F39">
      <w:pPr>
        <w:numPr>
          <w:ilvl w:val="0"/>
          <w:numId w:val="8"/>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lang w:val="en-US" w:eastAsia="zh-CN"/>
        </w:rPr>
        <w:t>①</w:t>
      </w:r>
      <w:r>
        <w:rPr>
          <w:rFonts w:hint="eastAsia" w:ascii="仿宋_GB2312" w:hAnsi="仿宋_GB2312" w:eastAsia="仿宋_GB2312" w:cs="仿宋_GB2312"/>
          <w:sz w:val="28"/>
          <w:szCs w:val="28"/>
          <w:u w:val="single"/>
        </w:rPr>
        <w:t>合同签订后，采购人收到中标人发票</w:t>
      </w:r>
      <w:r>
        <w:rPr>
          <w:rFonts w:hint="eastAsia" w:ascii="仿宋_GB2312" w:hAnsi="仿宋_GB2312" w:eastAsia="仿宋_GB2312" w:cs="仿宋_GB2312"/>
          <w:sz w:val="28"/>
          <w:szCs w:val="28"/>
          <w:u w:val="single"/>
          <w:lang w:eastAsia="zh-CN"/>
        </w:rPr>
        <w:t>申请</w:t>
      </w:r>
      <w:r>
        <w:rPr>
          <w:rFonts w:hint="eastAsia" w:ascii="仿宋_GB2312" w:hAnsi="仿宋_GB2312" w:eastAsia="仿宋_GB2312" w:cs="仿宋_GB2312"/>
          <w:sz w:val="28"/>
          <w:szCs w:val="28"/>
          <w:u w:val="single"/>
        </w:rPr>
        <w:t>后的</w:t>
      </w:r>
      <w:r>
        <w:rPr>
          <w:rFonts w:hint="eastAsia" w:ascii="仿宋_GB2312" w:hAnsi="仿宋_GB2312" w:eastAsia="仿宋_GB2312" w:cs="仿宋_GB2312"/>
          <w:sz w:val="28"/>
          <w:szCs w:val="28"/>
          <w:u w:val="single"/>
          <w:lang w:eastAsia="zh-CN"/>
        </w:rPr>
        <w:t>支付</w:t>
      </w:r>
      <w:r>
        <w:rPr>
          <w:rFonts w:hint="eastAsia" w:ascii="仿宋_GB2312" w:hAnsi="仿宋_GB2312" w:eastAsia="仿宋_GB2312" w:cs="仿宋_GB2312"/>
          <w:sz w:val="28"/>
          <w:szCs w:val="28"/>
          <w:u w:val="single"/>
        </w:rPr>
        <w:t>30%</w:t>
      </w:r>
      <w:r>
        <w:rPr>
          <w:rFonts w:hint="eastAsia" w:ascii="仿宋_GB2312" w:hAnsi="仿宋_GB2312" w:eastAsia="仿宋_GB2312" w:cs="仿宋_GB2312"/>
          <w:sz w:val="28"/>
          <w:szCs w:val="28"/>
          <w:u w:val="single"/>
          <w:lang w:eastAsia="zh-CN"/>
        </w:rPr>
        <w:t>的</w:t>
      </w:r>
      <w:r>
        <w:rPr>
          <w:rFonts w:hint="eastAsia" w:ascii="仿宋_GB2312" w:hAnsi="仿宋_GB2312" w:eastAsia="仿宋_GB2312" w:cs="仿宋_GB2312"/>
          <w:sz w:val="28"/>
          <w:szCs w:val="28"/>
          <w:u w:val="single"/>
        </w:rPr>
        <w:t>合同</w:t>
      </w:r>
      <w:r>
        <w:rPr>
          <w:rFonts w:hint="eastAsia" w:ascii="仿宋_GB2312" w:hAnsi="仿宋_GB2312" w:eastAsia="仿宋_GB2312" w:cs="仿宋_GB2312"/>
          <w:sz w:val="28"/>
          <w:szCs w:val="28"/>
          <w:u w:val="single"/>
          <w:lang w:eastAsia="zh-CN"/>
        </w:rPr>
        <w:t>价款；</w:t>
      </w:r>
      <w:r>
        <w:rPr>
          <w:rFonts w:hint="eastAsia" w:ascii="仿宋_GB2312" w:hAnsi="仿宋_GB2312" w:eastAsia="仿宋_GB2312" w:cs="仿宋_GB2312"/>
          <w:sz w:val="28"/>
          <w:szCs w:val="28"/>
          <w:u w:val="single"/>
          <w:lang w:val="en-US" w:eastAsia="zh-CN"/>
        </w:rPr>
        <w:t>b.</w:t>
      </w:r>
      <w:r>
        <w:rPr>
          <w:rFonts w:hint="eastAsia" w:ascii="仿宋_GB2312" w:hAnsi="仿宋_GB2312" w:eastAsia="仿宋_GB2312" w:cs="仿宋_GB2312"/>
          <w:sz w:val="28"/>
          <w:szCs w:val="28"/>
          <w:u w:val="single"/>
          <w:lang w:eastAsia="zh-CN"/>
        </w:rPr>
        <w:t>中标人进场后巡场出具现场查验报告（销项表）和驻场销项报告，对现场风险隐患问题进行复验、闭环，整改情况留底，并形成报告，支付</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lang w:eastAsia="zh-CN"/>
        </w:rPr>
        <w:t>0%的合同价款。</w:t>
      </w:r>
      <w:r>
        <w:rPr>
          <w:rFonts w:hint="eastAsia" w:ascii="仿宋_GB2312" w:hAnsi="仿宋_GB2312" w:eastAsia="仿宋_GB2312" w:cs="仿宋_GB2312"/>
          <w:sz w:val="28"/>
          <w:szCs w:val="28"/>
          <w:u w:val="single"/>
          <w:lang w:val="en-US" w:eastAsia="zh-CN"/>
        </w:rPr>
        <w:t>C.完成整个</w:t>
      </w:r>
      <w:r>
        <w:rPr>
          <w:rFonts w:hint="eastAsia" w:ascii="仿宋_GB2312" w:hAnsi="仿宋_GB2312" w:eastAsia="仿宋_GB2312" w:cs="仿宋_GB2312"/>
          <w:sz w:val="28"/>
          <w:szCs w:val="28"/>
          <w:u w:val="single"/>
          <w:lang w:eastAsia="zh-CN"/>
        </w:rPr>
        <w:t>项目的PPT总结和汇报，支付至</w:t>
      </w:r>
      <w:r>
        <w:rPr>
          <w:rFonts w:hint="eastAsia" w:ascii="仿宋_GB2312" w:hAnsi="仿宋_GB2312" w:eastAsia="仿宋_GB2312" w:cs="仿宋_GB2312"/>
          <w:sz w:val="28"/>
          <w:szCs w:val="28"/>
          <w:u w:val="single"/>
          <w:lang w:val="en-US" w:eastAsia="zh-CN"/>
        </w:rPr>
        <w:t>100%合同价款。</w:t>
      </w:r>
    </w:p>
    <w:p w14:paraId="3C8FE1CE">
      <w:pPr>
        <w:numPr>
          <w:ilvl w:val="0"/>
          <w:numId w:val="8"/>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中标人负责跟进后期技术咨询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00447016">
      <w:pPr>
        <w:pStyle w:val="3"/>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7D98FF9F">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p>
    <w:p w14:paraId="06170B56">
      <w:pPr>
        <w:adjustRightInd w:val="0"/>
        <w:snapToGrid w:val="0"/>
        <w:jc w:val="left"/>
        <w:rPr>
          <w:rFonts w:hint="eastAsia" w:ascii="仿宋" w:hAnsi="仿宋" w:eastAsia="仿宋"/>
          <w:sz w:val="28"/>
          <w:szCs w:val="28"/>
          <w:lang w:val="en-US" w:eastAsia="zh-CN"/>
        </w:rPr>
      </w:pPr>
    </w:p>
    <w:p w14:paraId="44FBC7BD">
      <w:pPr>
        <w:pStyle w:val="4"/>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F1AE7B-E8F2-41F6-A12B-29027E0EFC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2" w:fontKey="{32897226-9A29-4D2F-8598-8A8F5C0540E8}"/>
  </w:font>
  <w:font w:name="仿宋">
    <w:panose1 w:val="02010609060101010101"/>
    <w:charset w:val="86"/>
    <w:family w:val="modern"/>
    <w:pitch w:val="default"/>
    <w:sig w:usb0="800002BF" w:usb1="38CF7CFA" w:usb2="00000016" w:usb3="00000000" w:csb0="00040001" w:csb1="00000000"/>
    <w:embedRegular r:id="rId3" w:fontKey="{748FA292-3644-4083-A07B-81187C7CF1EC}"/>
  </w:font>
  <w:font w:name="方正仿宋_GB2312">
    <w:panose1 w:val="02000000000000000000"/>
    <w:charset w:val="86"/>
    <w:family w:val="auto"/>
    <w:pitch w:val="default"/>
    <w:sig w:usb0="A00002BF" w:usb1="184F6CFA" w:usb2="00000012" w:usb3="00000000" w:csb0="00040001" w:csb1="00000000"/>
    <w:embedRegular r:id="rId4" w:fontKey="{DDFFFB76-0062-426D-B9A6-14B8165140C8}"/>
  </w:font>
  <w:font w:name="微软雅黑">
    <w:panose1 w:val="020B0503020204020204"/>
    <w:charset w:val="86"/>
    <w:family w:val="auto"/>
    <w:pitch w:val="default"/>
    <w:sig w:usb0="80000287" w:usb1="2ACF3C50" w:usb2="00000016" w:usb3="00000000" w:csb0="0004001F" w:csb1="00000000"/>
  </w:font>
  <w:font w:name="WPSEMBED5">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307F7BA"/>
    <w:multiLevelType w:val="singleLevel"/>
    <w:tmpl w:val="D307F7BA"/>
    <w:lvl w:ilvl="0" w:tentative="0">
      <w:start w:val="1"/>
      <w:numFmt w:val="decimal"/>
      <w:suff w:val="nothing"/>
      <w:lvlText w:val="（%1）"/>
      <w:lvlJc w:val="left"/>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EC737CDF"/>
    <w:multiLevelType w:val="singleLevel"/>
    <w:tmpl w:val="EC737CDF"/>
    <w:lvl w:ilvl="0" w:tentative="0">
      <w:start w:val="1"/>
      <w:numFmt w:val="decimal"/>
      <w:lvlText w:val="(%1)"/>
      <w:lvlJc w:val="left"/>
      <w:pPr>
        <w:ind w:left="425" w:hanging="425"/>
      </w:pPr>
      <w:rPr>
        <w:rFonts w:hint="default"/>
      </w:r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5"/>
  </w:num>
  <w:num w:numId="2">
    <w:abstractNumId w:val="7"/>
  </w:num>
  <w:num w:numId="3">
    <w:abstractNumId w:val="0"/>
  </w:num>
  <w:num w:numId="4">
    <w:abstractNumId w:val="6"/>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5461FD"/>
    <w:rsid w:val="00681410"/>
    <w:rsid w:val="0078244A"/>
    <w:rsid w:val="008914B7"/>
    <w:rsid w:val="00B97AED"/>
    <w:rsid w:val="00C9106E"/>
    <w:rsid w:val="00F43941"/>
    <w:rsid w:val="0159301C"/>
    <w:rsid w:val="03ED0507"/>
    <w:rsid w:val="0636214C"/>
    <w:rsid w:val="097B1222"/>
    <w:rsid w:val="0ADC0551"/>
    <w:rsid w:val="0B6D750F"/>
    <w:rsid w:val="0C6A7D1D"/>
    <w:rsid w:val="0C882A07"/>
    <w:rsid w:val="0D532C76"/>
    <w:rsid w:val="0DEF1CCB"/>
    <w:rsid w:val="0FB73D2F"/>
    <w:rsid w:val="110F3211"/>
    <w:rsid w:val="11C81293"/>
    <w:rsid w:val="13B702C4"/>
    <w:rsid w:val="169D3D23"/>
    <w:rsid w:val="17C865A3"/>
    <w:rsid w:val="18AE0CBD"/>
    <w:rsid w:val="1A55661F"/>
    <w:rsid w:val="1BEA2580"/>
    <w:rsid w:val="1C4A5F2B"/>
    <w:rsid w:val="1CCE46D1"/>
    <w:rsid w:val="1D255F7A"/>
    <w:rsid w:val="1D3A7CD0"/>
    <w:rsid w:val="215E6BD3"/>
    <w:rsid w:val="245A7A0A"/>
    <w:rsid w:val="266C3E70"/>
    <w:rsid w:val="268A3AF4"/>
    <w:rsid w:val="26ED19A3"/>
    <w:rsid w:val="29C2465B"/>
    <w:rsid w:val="2B033E75"/>
    <w:rsid w:val="2CBA4A07"/>
    <w:rsid w:val="2EA33025"/>
    <w:rsid w:val="309A74CC"/>
    <w:rsid w:val="312A0667"/>
    <w:rsid w:val="316D5BCC"/>
    <w:rsid w:val="317C1016"/>
    <w:rsid w:val="31BC3D81"/>
    <w:rsid w:val="345D1B1D"/>
    <w:rsid w:val="379F1029"/>
    <w:rsid w:val="386B2CF7"/>
    <w:rsid w:val="3961320D"/>
    <w:rsid w:val="397F56CB"/>
    <w:rsid w:val="3A4E0DC4"/>
    <w:rsid w:val="3BE455FD"/>
    <w:rsid w:val="3DAB70D5"/>
    <w:rsid w:val="3DD2229E"/>
    <w:rsid w:val="3F786788"/>
    <w:rsid w:val="40062655"/>
    <w:rsid w:val="415D2B7B"/>
    <w:rsid w:val="418F2299"/>
    <w:rsid w:val="41A3209F"/>
    <w:rsid w:val="424D7F48"/>
    <w:rsid w:val="42F629B8"/>
    <w:rsid w:val="44E93E5D"/>
    <w:rsid w:val="47946129"/>
    <w:rsid w:val="47C254B2"/>
    <w:rsid w:val="4C4243A5"/>
    <w:rsid w:val="4E96232B"/>
    <w:rsid w:val="4F624D5E"/>
    <w:rsid w:val="539D45B7"/>
    <w:rsid w:val="54322F51"/>
    <w:rsid w:val="5571095B"/>
    <w:rsid w:val="56D33768"/>
    <w:rsid w:val="58F92AD4"/>
    <w:rsid w:val="59266DFD"/>
    <w:rsid w:val="5AF82556"/>
    <w:rsid w:val="5C265296"/>
    <w:rsid w:val="5DE54B90"/>
    <w:rsid w:val="612F3FAF"/>
    <w:rsid w:val="619012B7"/>
    <w:rsid w:val="68752646"/>
    <w:rsid w:val="688301AB"/>
    <w:rsid w:val="68B24209"/>
    <w:rsid w:val="6C0528A2"/>
    <w:rsid w:val="6C70102E"/>
    <w:rsid w:val="6D282CEC"/>
    <w:rsid w:val="6D682770"/>
    <w:rsid w:val="6E0472B5"/>
    <w:rsid w:val="71E65233"/>
    <w:rsid w:val="734008AD"/>
    <w:rsid w:val="74974D88"/>
    <w:rsid w:val="74B15375"/>
    <w:rsid w:val="761225D2"/>
    <w:rsid w:val="77763D74"/>
    <w:rsid w:val="7BBB0C44"/>
    <w:rsid w:val="7E12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pPr>
  </w:style>
  <w:style w:type="paragraph" w:styleId="5">
    <w:name w:val="annotation text"/>
    <w:basedOn w:val="1"/>
    <w:semiHidden/>
    <w:unhideWhenUsed/>
    <w:qFormat/>
    <w:uiPriority w:val="99"/>
    <w:pPr>
      <w:jc w:val="left"/>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styleId="13">
    <w:name w:val="List Paragraph"/>
    <w:basedOn w:val="1"/>
    <w:qFormat/>
    <w:uiPriority w:val="34"/>
    <w:pPr>
      <w:ind w:left="704" w:hanging="420"/>
    </w:pPr>
    <w:rPr>
      <w:rFonts w:ascii="Times New Roman" w:hAnsi="Times New Roman" w:eastAsia="黑体" w:cs="Times New Roman"/>
      <w:sz w:val="32"/>
      <w:szCs w:val="24"/>
    </w:rPr>
  </w:style>
  <w:style w:type="character" w:customStyle="1" w:styleId="14">
    <w:name w:val="标题 1 字符"/>
    <w:basedOn w:val="10"/>
    <w:link w:val="3"/>
    <w:qFormat/>
    <w:uiPriority w:val="9"/>
    <w:rPr>
      <w:b/>
      <w:bCs/>
      <w:kern w:val="44"/>
      <w:sz w:val="44"/>
      <w:szCs w:val="44"/>
    </w:rPr>
  </w:style>
  <w:style w:type="paragraph" w:customStyle="1" w:styleId="1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1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810</Words>
  <Characters>847</Characters>
  <Lines>7</Lines>
  <Paragraphs>2</Paragraphs>
  <TotalTime>13</TotalTime>
  <ScaleCrop>false</ScaleCrop>
  <LinksUpToDate>false</LinksUpToDate>
  <CharactersWithSpaces>932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2025-12-26T08:08:27Z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3BF8C8F06CFE4B3AB9195DC92B8A3570_12</vt:lpwstr>
  </property>
  <property fmtid="{D5CDD505-2E9C-101B-9397-08002B2CF9AE}" pid="4" name="KSOTemplateDocerSaveRecord">
    <vt:lpwstr>eyJoZGlkIjoiOTgxNzhhZWVjZDVjYzFiNzUyN2FlYmU1YTIwNTA2N2MiLCJ1c2VySWQiOiIxMTI2ODg3MDA2In0=</vt:lpwstr>
  </property>
</Properties>
</file>