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sz w:val="28"/>
          <w:szCs w:val="28"/>
        </w:rPr>
      </w:pPr>
      <w:r>
        <w:rPr>
          <w:rFonts w:hint="eastAsia" w:ascii="宋体" w:hAnsi="宋体"/>
          <w:sz w:val="28"/>
          <w:szCs w:val="28"/>
          <w:lang w:val="en-US" w:eastAsia="zh-CN"/>
        </w:rPr>
        <w:t>产品需求</w:t>
      </w:r>
      <w:r>
        <w:rPr>
          <w:rFonts w:hint="eastAsia" w:ascii="宋体" w:hAnsi="宋体"/>
          <w:sz w:val="28"/>
          <w:szCs w:val="28"/>
        </w:rPr>
        <w:t>偏离表</w:t>
      </w:r>
    </w:p>
    <w:p>
      <w:pPr>
        <w:spacing w:line="276" w:lineRule="auto"/>
        <w:jc w:val="center"/>
        <w:rPr>
          <w:rFonts w:ascii="宋体" w:hAnsi="宋体"/>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276" w:lineRule="auto"/>
              <w:rPr>
                <w:rFonts w:ascii="宋体" w:hAnsi="宋体"/>
                <w:szCs w:val="21"/>
              </w:rPr>
            </w:pPr>
            <w:r>
              <w:rPr>
                <w:rFonts w:hint="eastAsia" w:ascii="宋体" w:hAnsi="宋体"/>
                <w:szCs w:val="21"/>
              </w:rPr>
              <w:t>序号</w:t>
            </w:r>
          </w:p>
        </w:tc>
        <w:tc>
          <w:tcPr>
            <w:tcW w:w="1356" w:type="dxa"/>
          </w:tcPr>
          <w:p>
            <w:pPr>
              <w:spacing w:line="276" w:lineRule="auto"/>
              <w:rPr>
                <w:rFonts w:ascii="宋体" w:hAnsi="宋体"/>
                <w:szCs w:val="21"/>
              </w:rPr>
            </w:pPr>
            <w:r>
              <w:rPr>
                <w:rFonts w:hint="eastAsia" w:ascii="宋体" w:hAnsi="宋体"/>
                <w:szCs w:val="21"/>
              </w:rPr>
              <w:t>货物名称</w:t>
            </w:r>
          </w:p>
        </w:tc>
        <w:tc>
          <w:tcPr>
            <w:tcW w:w="1356" w:type="dxa"/>
          </w:tcPr>
          <w:p>
            <w:pPr>
              <w:spacing w:line="276" w:lineRule="auto"/>
              <w:rPr>
                <w:rFonts w:ascii="宋体" w:hAnsi="宋体"/>
                <w:szCs w:val="21"/>
              </w:rPr>
            </w:pPr>
            <w:r>
              <w:rPr>
                <w:rFonts w:hint="eastAsia" w:ascii="宋体" w:hAnsi="宋体"/>
                <w:szCs w:val="21"/>
                <w:lang w:val="en-US" w:eastAsia="zh-CN"/>
              </w:rPr>
              <w:t>产品需求</w:t>
            </w:r>
          </w:p>
        </w:tc>
        <w:tc>
          <w:tcPr>
            <w:tcW w:w="1356" w:type="dxa"/>
          </w:tcPr>
          <w:p>
            <w:pPr>
              <w:spacing w:line="276" w:lineRule="auto"/>
              <w:rPr>
                <w:rFonts w:ascii="宋体" w:hAnsi="宋体"/>
                <w:szCs w:val="21"/>
              </w:rPr>
            </w:pPr>
            <w:r>
              <w:rPr>
                <w:rFonts w:hint="eastAsia" w:ascii="宋体" w:hAnsi="宋体"/>
                <w:szCs w:val="21"/>
                <w:lang w:val="en-US" w:eastAsia="zh-CN"/>
              </w:rPr>
              <w:t>产品需求</w:t>
            </w:r>
            <w:r>
              <w:rPr>
                <w:rFonts w:hint="eastAsia" w:ascii="宋体" w:hAnsi="宋体"/>
                <w:szCs w:val="21"/>
              </w:rPr>
              <w:t>应答</w:t>
            </w:r>
          </w:p>
        </w:tc>
        <w:tc>
          <w:tcPr>
            <w:tcW w:w="1484" w:type="dxa"/>
          </w:tcPr>
          <w:p>
            <w:pPr>
              <w:spacing w:line="276" w:lineRule="auto"/>
              <w:rPr>
                <w:rFonts w:ascii="宋体" w:hAnsi="宋体"/>
                <w:szCs w:val="21"/>
              </w:rPr>
            </w:pPr>
            <w:r>
              <w:rPr>
                <w:rFonts w:hint="eastAsia" w:ascii="宋体" w:hAnsi="宋体"/>
                <w:szCs w:val="21"/>
              </w:rPr>
              <w:t>偏离情况</w:t>
            </w:r>
          </w:p>
        </w:tc>
        <w:tc>
          <w:tcPr>
            <w:tcW w:w="1530" w:type="dxa"/>
          </w:tcPr>
          <w:p>
            <w:pPr>
              <w:spacing w:line="276" w:lineRule="auto"/>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484" w:type="dxa"/>
          </w:tcPr>
          <w:p>
            <w:pPr>
              <w:spacing w:line="276" w:lineRule="auto"/>
              <w:rPr>
                <w:rFonts w:ascii="宋体" w:hAnsi="宋体"/>
                <w:szCs w:val="21"/>
              </w:rPr>
            </w:pPr>
          </w:p>
        </w:tc>
        <w:tc>
          <w:tcPr>
            <w:tcW w:w="15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484" w:type="dxa"/>
          </w:tcPr>
          <w:p>
            <w:pPr>
              <w:spacing w:line="276" w:lineRule="auto"/>
              <w:rPr>
                <w:rFonts w:ascii="宋体" w:hAnsi="宋体"/>
                <w:szCs w:val="21"/>
              </w:rPr>
            </w:pPr>
          </w:p>
        </w:tc>
        <w:tc>
          <w:tcPr>
            <w:tcW w:w="15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484" w:type="dxa"/>
          </w:tcPr>
          <w:p>
            <w:pPr>
              <w:spacing w:line="276" w:lineRule="auto"/>
              <w:rPr>
                <w:rFonts w:ascii="宋体" w:hAnsi="宋体"/>
                <w:szCs w:val="21"/>
              </w:rPr>
            </w:pPr>
          </w:p>
        </w:tc>
        <w:tc>
          <w:tcPr>
            <w:tcW w:w="15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484" w:type="dxa"/>
          </w:tcPr>
          <w:p>
            <w:pPr>
              <w:spacing w:line="276" w:lineRule="auto"/>
              <w:rPr>
                <w:rFonts w:ascii="宋体" w:hAnsi="宋体"/>
                <w:szCs w:val="21"/>
              </w:rPr>
            </w:pPr>
          </w:p>
        </w:tc>
        <w:tc>
          <w:tcPr>
            <w:tcW w:w="15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484" w:type="dxa"/>
          </w:tcPr>
          <w:p>
            <w:pPr>
              <w:spacing w:line="276" w:lineRule="auto"/>
              <w:rPr>
                <w:rFonts w:ascii="宋体" w:hAnsi="宋体"/>
                <w:szCs w:val="21"/>
              </w:rPr>
            </w:pPr>
          </w:p>
        </w:tc>
        <w:tc>
          <w:tcPr>
            <w:tcW w:w="15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356" w:type="dxa"/>
          </w:tcPr>
          <w:p>
            <w:pPr>
              <w:spacing w:line="276" w:lineRule="auto"/>
              <w:rPr>
                <w:rFonts w:ascii="宋体" w:hAnsi="宋体"/>
                <w:szCs w:val="21"/>
              </w:rPr>
            </w:pPr>
          </w:p>
        </w:tc>
        <w:tc>
          <w:tcPr>
            <w:tcW w:w="1484" w:type="dxa"/>
          </w:tcPr>
          <w:p>
            <w:pPr>
              <w:spacing w:line="276" w:lineRule="auto"/>
              <w:rPr>
                <w:rFonts w:ascii="宋体" w:hAnsi="宋体"/>
                <w:szCs w:val="21"/>
              </w:rPr>
            </w:pPr>
          </w:p>
        </w:tc>
        <w:tc>
          <w:tcPr>
            <w:tcW w:w="1530" w:type="dxa"/>
          </w:tcPr>
          <w:p>
            <w:pPr>
              <w:spacing w:line="276" w:lineRule="auto"/>
              <w:rPr>
                <w:rFonts w:ascii="宋体" w:hAnsi="宋体"/>
                <w:szCs w:val="21"/>
              </w:rPr>
            </w:pPr>
          </w:p>
        </w:tc>
      </w:tr>
    </w:tbl>
    <w:p>
      <w:pPr>
        <w:spacing w:line="276" w:lineRule="auto"/>
        <w:rPr>
          <w:rFonts w:ascii="宋体" w:hAnsi="宋体"/>
          <w:szCs w:val="21"/>
        </w:rPr>
      </w:pPr>
      <w:r>
        <w:rPr>
          <w:rFonts w:hint="eastAsia" w:ascii="宋体" w:hAnsi="宋体"/>
          <w:szCs w:val="21"/>
        </w:rPr>
        <w:t>备注：</w:t>
      </w:r>
    </w:p>
    <w:p>
      <w:pPr>
        <w:spacing w:line="276" w:lineRule="auto"/>
        <w:ind w:firstLine="420" w:firstLineChars="200"/>
        <w:rPr>
          <w:rFonts w:ascii="宋体" w:hAnsi="宋体"/>
          <w:szCs w:val="21"/>
        </w:rPr>
      </w:pPr>
      <w:r>
        <w:rPr>
          <w:rFonts w:hint="eastAsia" w:ascii="宋体" w:hAnsi="宋体"/>
          <w:szCs w:val="21"/>
        </w:rPr>
        <w:t>1、“投标文件技术应答”一栏必须详细填写投标产品的具体参数，不得照搬照抄招标文件的技术要求，否则评标委员会有权认定为不合格响应。</w:t>
      </w:r>
    </w:p>
    <w:p>
      <w:pPr>
        <w:spacing w:line="276" w:lineRule="auto"/>
        <w:ind w:firstLine="420" w:firstLineChars="200"/>
        <w:rPr>
          <w:rFonts w:ascii="宋体" w:hAnsi="宋体"/>
          <w:color w:val="FF0000"/>
          <w:szCs w:val="21"/>
        </w:rPr>
      </w:pPr>
      <w:r>
        <w:rPr>
          <w:rFonts w:hint="eastAsia" w:ascii="宋体" w:hAnsi="宋体"/>
          <w:szCs w:val="21"/>
        </w:rPr>
        <w:t>2、投标产品的技术参数应尽可能提供相应的证明资料，以证明投标人响应的真实性。证明资料包括制造商或合法代理商公布的产品说明书、产品彩页和我国政府机构出具的产品检验和核准证件等。投标人应在“说明”一栏中列出技术参数的证明资料名称，并指明该证明资料在投标文件中的具体位置</w:t>
      </w:r>
      <w:r>
        <w:rPr>
          <w:rFonts w:hint="eastAsia" w:ascii="宋体" w:hAnsi="宋体"/>
          <w:color w:val="FF0000"/>
          <w:szCs w:val="21"/>
        </w:rPr>
        <w:t>（标明具体页码）。</w:t>
      </w:r>
      <w:r>
        <w:rPr>
          <w:rFonts w:ascii="宋体" w:hAnsi="宋体"/>
          <w:szCs w:val="21"/>
        </w:rPr>
        <w:t>根据参数情况产生以下影响：</w:t>
      </w:r>
    </w:p>
    <w:p>
      <w:pPr>
        <w:ind w:firstLine="420" w:firstLineChars="200"/>
        <w:textAlignment w:val="baseline"/>
        <w:rPr>
          <w:rFonts w:ascii="宋体" w:hAnsi="宋体"/>
          <w:szCs w:val="21"/>
        </w:rPr>
      </w:pPr>
      <w:r>
        <w:rPr>
          <w:rFonts w:ascii="宋体" w:hAnsi="宋体"/>
          <w:szCs w:val="21"/>
        </w:rPr>
        <w:t>（1）如项目技术要求中设置了“</w:t>
      </w:r>
      <w:r>
        <w:rPr>
          <w:rFonts w:hint="eastAsia" w:ascii="宋体" w:hAnsi="宋体"/>
          <w:szCs w:val="21"/>
        </w:rPr>
        <w:t>★</w:t>
      </w:r>
      <w:r>
        <w:rPr>
          <w:rFonts w:ascii="宋体" w:hAnsi="宋体"/>
          <w:szCs w:val="21"/>
        </w:rPr>
        <w:t>”号的参数，则该项参数为关键性技术指标，投标人所投产品必须满足，否则视为没有实质性满足招标文件要求废标处理。</w:t>
      </w:r>
    </w:p>
    <w:p>
      <w:pPr>
        <w:ind w:firstLine="420" w:firstLineChars="200"/>
        <w:textAlignment w:val="baseline"/>
        <w:rPr>
          <w:rFonts w:ascii="宋体" w:hAnsi="宋体"/>
          <w:szCs w:val="21"/>
        </w:rPr>
      </w:pPr>
      <w:r>
        <w:rPr>
          <w:rFonts w:ascii="宋体" w:hAnsi="宋体"/>
          <w:szCs w:val="21"/>
        </w:rPr>
        <w:t>（2）如项目技术要求中设置了“▲”号的参数，则该项参数为重要技术指标，将在“产品技术指标符合程度评价”评分项中作为重点评价指标。</w:t>
      </w:r>
    </w:p>
    <w:p>
      <w:pPr>
        <w:ind w:firstLine="420" w:firstLineChars="200"/>
        <w:textAlignment w:val="baseline"/>
        <w:rPr>
          <w:rFonts w:ascii="宋体" w:hAnsi="宋体"/>
          <w:szCs w:val="21"/>
        </w:rPr>
      </w:pPr>
      <w:r>
        <w:rPr>
          <w:rFonts w:ascii="宋体" w:hAnsi="宋体"/>
          <w:szCs w:val="21"/>
        </w:rPr>
        <w:t>（3）如项目技术要求中未设置“</w:t>
      </w:r>
      <w:r>
        <w:rPr>
          <w:rFonts w:hint="eastAsia" w:ascii="宋体" w:hAnsi="宋体"/>
          <w:szCs w:val="21"/>
        </w:rPr>
        <w:t>★</w:t>
      </w:r>
      <w:r>
        <w:rPr>
          <w:rFonts w:ascii="宋体" w:hAnsi="宋体"/>
          <w:szCs w:val="21"/>
        </w:rPr>
        <w:t>”或“▲”号的参数，则该项参数为普通技术指标，将在“产品技术指标符合程度评价”评分项中作为评价指标。</w:t>
      </w:r>
    </w:p>
    <w:p>
      <w:pPr>
        <w:spacing w:line="276" w:lineRule="auto"/>
        <w:ind w:firstLine="420" w:firstLineChars="200"/>
        <w:rPr>
          <w:rFonts w:ascii="宋体" w:hAnsi="宋体"/>
          <w:szCs w:val="21"/>
        </w:rPr>
      </w:pPr>
      <w:r>
        <w:rPr>
          <w:rFonts w:hint="eastAsia" w:ascii="宋体" w:hAnsi="宋体"/>
          <w:szCs w:val="21"/>
        </w:rPr>
        <w:t>3、证明资料（均为扫描件）的提供要求：</w:t>
      </w:r>
    </w:p>
    <w:p>
      <w:pPr>
        <w:spacing w:line="276" w:lineRule="auto"/>
        <w:ind w:firstLine="420" w:firstLineChars="200"/>
        <w:rPr>
          <w:rFonts w:ascii="宋体" w:hAnsi="宋体"/>
          <w:szCs w:val="21"/>
        </w:rPr>
      </w:pPr>
      <w:r>
        <w:rPr>
          <w:rFonts w:hint="eastAsia" w:ascii="宋体" w:hAnsi="宋体"/>
          <w:szCs w:val="21"/>
        </w:rPr>
        <w:t>（1）产品说明书或彩页应为制造商或合法代理商公布或出具的中文产品说明书或彩页；提供外文说明书或彩页的，必须同时提供加盖制造商或合法代理商公章的对应中文翻译说明，评标依据以中文翻译内容为准，外文说明书或彩页仅供参考；产品说明书或彩页的尺寸和清晰度应该能够在电脑上被阅读、识别和判断。</w:t>
      </w:r>
    </w:p>
    <w:p>
      <w:pPr>
        <w:spacing w:line="276" w:lineRule="auto"/>
        <w:ind w:firstLine="420" w:firstLineChars="200"/>
        <w:rPr>
          <w:rFonts w:ascii="宋体" w:hAnsi="宋体"/>
          <w:szCs w:val="21"/>
        </w:rPr>
      </w:pPr>
      <w:r>
        <w:rPr>
          <w:rFonts w:hint="eastAsia" w:ascii="宋体" w:hAnsi="宋体"/>
          <w:szCs w:val="21"/>
        </w:rPr>
        <w:t>（2）我国政府机构出具的产品检验和核准证件应为证件正面、背面和附件标注的全部具体内容；产品检验和核准证件的尺寸和清晰度应该能够在电脑上被阅读、识别和判断。</w:t>
      </w:r>
    </w:p>
    <w:p>
      <w:pPr>
        <w:spacing w:line="276" w:lineRule="auto"/>
      </w:pPr>
      <w:r>
        <w:rPr>
          <w:rFonts w:hint="eastAsia"/>
        </w:rPr>
        <w:t>4、“偏离情况”一栏应如实填写“正偏离”、“负偏离”或“无偏离”。</w:t>
      </w:r>
    </w:p>
    <w:p>
      <w:pPr>
        <w:spacing w:line="276" w:lineRule="auto"/>
        <w:ind w:firstLine="420" w:firstLineChars="200"/>
        <w:rPr>
          <w:rFonts w:ascii="宋体" w:hAnsi="宋体"/>
          <w:szCs w:val="21"/>
        </w:rPr>
      </w:pPr>
      <w:r>
        <w:rPr>
          <w:rFonts w:hint="eastAsia" w:ascii="宋体" w:hAnsi="宋体"/>
          <w:szCs w:val="21"/>
        </w:rPr>
        <w:t>未达到以上提供要求的，评标委员会有权认定为不合格响应，其相关分数予以扣减或作废标处理。</w:t>
      </w:r>
    </w:p>
    <w:p>
      <w:pPr>
        <w:spacing w:line="276" w:lineRule="auto"/>
        <w:ind w:firstLine="420" w:firstLineChars="200"/>
        <w:rPr>
          <w:rFonts w:ascii="宋体" w:hAnsi="宋体"/>
          <w:szCs w:val="21"/>
        </w:rPr>
      </w:pPr>
    </w:p>
    <w:p>
      <w:pPr>
        <w:spacing w:line="276" w:lineRule="auto"/>
        <w:ind w:firstLine="560" w:firstLineChars="200"/>
        <w:jc w:val="center"/>
        <w:rPr>
          <w:rFonts w:hint="eastAsia" w:ascii="宋体" w:hAnsi="宋体"/>
          <w:sz w:val="28"/>
          <w:szCs w:val="28"/>
        </w:rPr>
      </w:pPr>
    </w:p>
    <w:p>
      <w:pPr>
        <w:spacing w:line="276" w:lineRule="auto"/>
        <w:ind w:firstLine="560" w:firstLineChars="200"/>
        <w:jc w:val="center"/>
        <w:rPr>
          <w:rFonts w:hint="eastAsia" w:ascii="宋体" w:hAnsi="宋体"/>
          <w:sz w:val="28"/>
          <w:szCs w:val="28"/>
        </w:rPr>
      </w:pPr>
    </w:p>
    <w:p>
      <w:pPr>
        <w:spacing w:line="276" w:lineRule="auto"/>
        <w:ind w:firstLine="560" w:firstLineChars="200"/>
        <w:jc w:val="center"/>
        <w:rPr>
          <w:rFonts w:ascii="宋体" w:hAnsi="宋体"/>
          <w:sz w:val="28"/>
          <w:szCs w:val="28"/>
        </w:rPr>
      </w:pPr>
      <w:bookmarkStart w:id="0" w:name="_GoBack"/>
      <w:bookmarkEnd w:id="0"/>
      <w:r>
        <w:rPr>
          <w:rFonts w:hint="eastAsia" w:ascii="宋体" w:hAnsi="宋体"/>
          <w:sz w:val="28"/>
          <w:szCs w:val="28"/>
        </w:rPr>
        <w:t>商务条款偏离表</w:t>
      </w:r>
    </w:p>
    <w:p>
      <w:pPr>
        <w:spacing w:line="276" w:lineRule="auto"/>
        <w:rPr>
          <w:rFonts w:ascii="宋体" w:hAnsi="宋体"/>
          <w:szCs w:val="21"/>
        </w:rPr>
      </w:pPr>
      <w:r>
        <w:rPr>
          <w:rFonts w:hint="eastAsia" w:ascii="宋体" w:hAnsi="宋体"/>
          <w:szCs w:val="21"/>
        </w:rPr>
        <w:t xml:space="preserve">                                                      </w:t>
      </w:r>
    </w:p>
    <w:tbl>
      <w:tblPr>
        <w:tblStyle w:val="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16"/>
        <w:gridCol w:w="2316"/>
        <w:gridCol w:w="173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276" w:lineRule="auto"/>
              <w:rPr>
                <w:rFonts w:ascii="宋体" w:hAnsi="宋体"/>
                <w:szCs w:val="21"/>
              </w:rPr>
            </w:pPr>
            <w:r>
              <w:rPr>
                <w:rFonts w:hint="eastAsia" w:ascii="宋体" w:hAnsi="宋体"/>
                <w:szCs w:val="21"/>
              </w:rPr>
              <w:t>序号</w:t>
            </w:r>
          </w:p>
        </w:tc>
        <w:tc>
          <w:tcPr>
            <w:tcW w:w="2316" w:type="dxa"/>
          </w:tcPr>
          <w:p>
            <w:pPr>
              <w:spacing w:line="276" w:lineRule="auto"/>
              <w:rPr>
                <w:rFonts w:ascii="宋体" w:hAnsi="宋体"/>
                <w:szCs w:val="21"/>
              </w:rPr>
            </w:pPr>
            <w:r>
              <w:rPr>
                <w:rFonts w:hint="eastAsia" w:ascii="宋体" w:hAnsi="宋体"/>
                <w:szCs w:val="21"/>
              </w:rPr>
              <w:t>商务条款</w:t>
            </w:r>
          </w:p>
        </w:tc>
        <w:tc>
          <w:tcPr>
            <w:tcW w:w="2316" w:type="dxa"/>
          </w:tcPr>
          <w:p>
            <w:pPr>
              <w:spacing w:line="276" w:lineRule="auto"/>
              <w:rPr>
                <w:rFonts w:hint="eastAsia" w:ascii="宋体" w:hAnsi="宋体" w:eastAsia="宋体"/>
                <w:szCs w:val="21"/>
                <w:lang w:val="en-US" w:eastAsia="zh-CN"/>
              </w:rPr>
            </w:pPr>
            <w:r>
              <w:rPr>
                <w:rFonts w:hint="eastAsia" w:ascii="宋体" w:hAnsi="宋体"/>
                <w:szCs w:val="21"/>
              </w:rPr>
              <w:t>商务条款</w:t>
            </w:r>
            <w:r>
              <w:rPr>
                <w:rFonts w:hint="eastAsia" w:ascii="宋体" w:hAnsi="宋体"/>
                <w:szCs w:val="21"/>
                <w:lang w:val="en-US" w:eastAsia="zh-CN"/>
              </w:rPr>
              <w:t>应答</w:t>
            </w:r>
          </w:p>
        </w:tc>
        <w:tc>
          <w:tcPr>
            <w:tcW w:w="1730" w:type="dxa"/>
          </w:tcPr>
          <w:p>
            <w:pPr>
              <w:spacing w:line="276" w:lineRule="auto"/>
              <w:rPr>
                <w:rFonts w:ascii="宋体" w:hAnsi="宋体"/>
                <w:szCs w:val="21"/>
              </w:rPr>
            </w:pPr>
            <w:r>
              <w:rPr>
                <w:rFonts w:hint="eastAsia" w:ascii="宋体" w:hAnsi="宋体"/>
                <w:szCs w:val="21"/>
              </w:rPr>
              <w:t>偏离情况</w:t>
            </w:r>
          </w:p>
        </w:tc>
        <w:tc>
          <w:tcPr>
            <w:tcW w:w="1730" w:type="dxa"/>
          </w:tcPr>
          <w:p>
            <w:pPr>
              <w:spacing w:line="276" w:lineRule="auto"/>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1730" w:type="dxa"/>
          </w:tcPr>
          <w:p>
            <w:pPr>
              <w:spacing w:line="276" w:lineRule="auto"/>
              <w:rPr>
                <w:rFonts w:ascii="宋体" w:hAnsi="宋体"/>
                <w:szCs w:val="21"/>
              </w:rPr>
            </w:pPr>
          </w:p>
        </w:tc>
        <w:tc>
          <w:tcPr>
            <w:tcW w:w="17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1730" w:type="dxa"/>
          </w:tcPr>
          <w:p>
            <w:pPr>
              <w:spacing w:line="276" w:lineRule="auto"/>
              <w:rPr>
                <w:rFonts w:ascii="宋体" w:hAnsi="宋体"/>
                <w:szCs w:val="21"/>
              </w:rPr>
            </w:pPr>
          </w:p>
        </w:tc>
        <w:tc>
          <w:tcPr>
            <w:tcW w:w="17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1730" w:type="dxa"/>
          </w:tcPr>
          <w:p>
            <w:pPr>
              <w:spacing w:line="276" w:lineRule="auto"/>
              <w:rPr>
                <w:rFonts w:ascii="宋体" w:hAnsi="宋体"/>
                <w:szCs w:val="21"/>
              </w:rPr>
            </w:pPr>
          </w:p>
        </w:tc>
        <w:tc>
          <w:tcPr>
            <w:tcW w:w="17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1730" w:type="dxa"/>
          </w:tcPr>
          <w:p>
            <w:pPr>
              <w:spacing w:line="276" w:lineRule="auto"/>
              <w:rPr>
                <w:rFonts w:ascii="宋体" w:hAnsi="宋体"/>
                <w:szCs w:val="21"/>
              </w:rPr>
            </w:pPr>
          </w:p>
        </w:tc>
        <w:tc>
          <w:tcPr>
            <w:tcW w:w="17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1730" w:type="dxa"/>
          </w:tcPr>
          <w:p>
            <w:pPr>
              <w:spacing w:line="276" w:lineRule="auto"/>
              <w:rPr>
                <w:rFonts w:ascii="宋体" w:hAnsi="宋体"/>
                <w:szCs w:val="21"/>
              </w:rPr>
            </w:pPr>
          </w:p>
        </w:tc>
        <w:tc>
          <w:tcPr>
            <w:tcW w:w="1730"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2316" w:type="dxa"/>
          </w:tcPr>
          <w:p>
            <w:pPr>
              <w:spacing w:line="276" w:lineRule="auto"/>
              <w:rPr>
                <w:rFonts w:ascii="宋体" w:hAnsi="宋体"/>
                <w:szCs w:val="21"/>
              </w:rPr>
            </w:pPr>
          </w:p>
        </w:tc>
        <w:tc>
          <w:tcPr>
            <w:tcW w:w="1730" w:type="dxa"/>
          </w:tcPr>
          <w:p>
            <w:pPr>
              <w:spacing w:line="276" w:lineRule="auto"/>
              <w:rPr>
                <w:rFonts w:ascii="宋体" w:hAnsi="宋体"/>
                <w:szCs w:val="21"/>
              </w:rPr>
            </w:pPr>
          </w:p>
        </w:tc>
        <w:tc>
          <w:tcPr>
            <w:tcW w:w="1730" w:type="dxa"/>
          </w:tcPr>
          <w:p>
            <w:pPr>
              <w:spacing w:line="276" w:lineRule="auto"/>
              <w:rPr>
                <w:rFonts w:ascii="宋体" w:hAnsi="宋体"/>
                <w:szCs w:val="21"/>
              </w:rPr>
            </w:pPr>
          </w:p>
        </w:tc>
      </w:tr>
    </w:tbl>
    <w:p>
      <w:pPr>
        <w:spacing w:line="276" w:lineRule="auto"/>
        <w:ind w:firstLine="420" w:firstLineChars="200"/>
        <w:rPr>
          <w:rFonts w:ascii="宋体" w:hAnsi="宋体"/>
          <w:szCs w:val="21"/>
        </w:rPr>
      </w:pPr>
      <w:r>
        <w:rPr>
          <w:rFonts w:hint="eastAsia" w:ascii="宋体" w:hAnsi="宋体"/>
          <w:szCs w:val="21"/>
        </w:rPr>
        <w:t>备注：</w:t>
      </w:r>
    </w:p>
    <w:p>
      <w:pPr>
        <w:spacing w:line="276" w:lineRule="auto"/>
        <w:ind w:firstLine="420" w:firstLineChars="200"/>
        <w:rPr>
          <w:rFonts w:ascii="宋体" w:hAnsi="宋体"/>
          <w:szCs w:val="21"/>
        </w:rPr>
      </w:pPr>
      <w:r>
        <w:rPr>
          <w:rFonts w:hint="eastAsia" w:ascii="宋体" w:hAnsi="宋体"/>
          <w:szCs w:val="21"/>
        </w:rPr>
        <w:t>1.“偏离情况”栏中应填写“正偏离”、“负偏离”或“无偏离”。</w:t>
      </w:r>
    </w:p>
    <w:p>
      <w:pPr>
        <w:spacing w:line="276" w:lineRule="auto"/>
        <w:ind w:firstLine="420" w:firstLineChars="200"/>
        <w:rPr>
          <w:rFonts w:ascii="宋体" w:hAnsi="宋体"/>
          <w:szCs w:val="21"/>
        </w:rPr>
      </w:pPr>
      <w:r>
        <w:rPr>
          <w:rFonts w:hint="eastAsia" w:ascii="宋体" w:hAnsi="宋体"/>
          <w:szCs w:val="21"/>
        </w:rPr>
        <w:t>2.“投标文件商务条款”一栏必须详细填写投标商务条款的主要内容摘要。</w:t>
      </w:r>
    </w:p>
    <w:p>
      <w:pPr>
        <w:spacing w:line="276" w:lineRule="auto"/>
        <w:ind w:firstLine="420" w:firstLineChars="200"/>
        <w:rPr>
          <w:szCs w:val="21"/>
        </w:rPr>
      </w:pPr>
      <w:r>
        <w:rPr>
          <w:rFonts w:hint="eastAsia"/>
          <w:szCs w:val="21"/>
        </w:rPr>
        <w:t>3. 交货期条款为不可负偏离条款，投标文件响应为“负偏离”的，投标文件将按废标处理。</w:t>
      </w:r>
    </w:p>
    <w:p>
      <w:pPr>
        <w:spacing w:line="276" w:lineRule="auto"/>
        <w:ind w:firstLine="420" w:firstLineChars="200"/>
        <w:rPr>
          <w:szCs w:val="21"/>
        </w:rPr>
      </w:pPr>
      <w:r>
        <w:rPr>
          <w:rFonts w:hint="eastAsia"/>
          <w:szCs w:val="21"/>
        </w:rPr>
        <w:t>4.</w:t>
      </w:r>
      <w:r>
        <w:rPr>
          <w:rFonts w:ascii="宋体" w:hAnsi="宋体"/>
          <w:szCs w:val="21"/>
        </w:rPr>
        <w:t xml:space="preserve"> 如</w:t>
      </w:r>
      <w:r>
        <w:rPr>
          <w:rFonts w:hint="eastAsia" w:ascii="宋体" w:hAnsi="宋体"/>
          <w:szCs w:val="21"/>
        </w:rPr>
        <w:t>条款</w:t>
      </w:r>
      <w:r>
        <w:rPr>
          <w:rFonts w:ascii="宋体" w:hAnsi="宋体"/>
          <w:szCs w:val="21"/>
        </w:rPr>
        <w:t>要求中设置了“</w:t>
      </w:r>
      <w:r>
        <w:rPr>
          <w:rFonts w:hint="eastAsia" w:ascii="宋体" w:hAnsi="宋体"/>
          <w:szCs w:val="21"/>
        </w:rPr>
        <w:t>★</w:t>
      </w:r>
      <w:r>
        <w:rPr>
          <w:rFonts w:ascii="宋体" w:hAnsi="宋体"/>
          <w:szCs w:val="21"/>
        </w:rPr>
        <w:t>”号的参数，则该项参数为实质性条款，投标人所投产品必须满足，否则视为没有实质性满足招标文件要求废标处理。</w:t>
      </w:r>
    </w:p>
    <w:p>
      <w:pPr>
        <w:spacing w:line="276" w:lineRule="auto"/>
        <w:ind w:left="630" w:leftChars="200" w:hanging="210" w:hangingChars="100"/>
        <w:rPr>
          <w:szCs w:val="21"/>
        </w:rPr>
      </w:pPr>
      <w:r>
        <w:rPr>
          <w:rFonts w:hint="eastAsia"/>
          <w:szCs w:val="21"/>
        </w:rPr>
        <w:t>5 开标一览表中填写的“交货期”必须与本表填写的“交货期”一致。如填写不一致，以开标一览表填写的“交货期”为准。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NDRjYTMzZDUwYTZhZjZkZmZkZDdlNDA1MzY3N2QifQ=="/>
  </w:docVars>
  <w:rsids>
    <w:rsidRoot w:val="00000000"/>
    <w:rsid w:val="01CE4320"/>
    <w:rsid w:val="0D1D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2024-03-29T01:19:53Z</dcterms:created>
  <dc:creator>Administrator</dc:creator>
  <cp:lastModifiedBy>风子</cp:lastModifiedBy>
  <dcterms:modified xsi:type="dcterms:W3CDTF">2024-03-29T01:21:33Z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C0022108FB7F4D64A5BE1B8E49EB848B_12</vt:lpwstr>
  </property>
</Properties>
</file>