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E24A60" w:rsidRDefault="00D56D8C" w:rsidP="00CF6877">
      <w:pPr>
        <w:jc w:val="center"/>
        <w:rPr>
          <w:rFonts w:asciiTheme="minorEastAsia" w:eastAsiaTheme="minorEastAsia" w:hAnsiTheme="minorEastAsia"/>
          <w:b/>
          <w:bCs/>
          <w:sz w:val="44"/>
          <w:szCs w:val="44"/>
        </w:rPr>
      </w:pPr>
      <w:r w:rsidRPr="00E24A60">
        <w:rPr>
          <w:rFonts w:asciiTheme="minorEastAsia" w:eastAsiaTheme="minorEastAsia" w:hAnsiTheme="minorEastAsia" w:hint="eastAsia"/>
          <w:b/>
          <w:sz w:val="44"/>
          <w:szCs w:val="44"/>
        </w:rPr>
        <w:t>深圳市前海蛇口自贸区医院</w:t>
      </w:r>
      <w:r w:rsidR="00CF6877">
        <w:rPr>
          <w:rFonts w:ascii="宋体" w:hAnsi="宋体" w:hint="eastAsia"/>
          <w:b/>
          <w:sz w:val="44"/>
          <w:szCs w:val="44"/>
        </w:rPr>
        <w:t>职工电影文化</w:t>
      </w:r>
      <w:proofErr w:type="gramStart"/>
      <w:r w:rsidR="00CF6877">
        <w:rPr>
          <w:rFonts w:ascii="宋体" w:hAnsi="宋体" w:hint="eastAsia"/>
          <w:b/>
          <w:sz w:val="44"/>
          <w:szCs w:val="44"/>
        </w:rPr>
        <w:t>券</w:t>
      </w:r>
      <w:proofErr w:type="gramEnd"/>
      <w:r w:rsidR="009A472F" w:rsidRPr="00E24A60">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CF6877" w:rsidRPr="00CF6877">
        <w:rPr>
          <w:rFonts w:ascii="宋体" w:hAnsi="宋体" w:hint="eastAsia"/>
          <w:b/>
          <w:sz w:val="44"/>
          <w:szCs w:val="44"/>
        </w:rPr>
        <w:t xml:space="preserve"> </w:t>
      </w:r>
      <w:r w:rsidR="00CF6877" w:rsidRPr="00CF6877">
        <w:rPr>
          <w:rFonts w:ascii="宋体" w:hAnsi="宋体" w:hint="eastAsia"/>
          <w:szCs w:val="21"/>
        </w:rPr>
        <w:t>职工电影文化</w:t>
      </w:r>
      <w:proofErr w:type="gramStart"/>
      <w:r w:rsidR="00CF6877" w:rsidRPr="00CF6877">
        <w:rPr>
          <w:rFonts w:ascii="宋体" w:hAnsi="宋体" w:hint="eastAsia"/>
          <w:szCs w:val="21"/>
        </w:rPr>
        <w:t>券</w:t>
      </w:r>
      <w:proofErr w:type="gramEnd"/>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E24A60">
        <w:rPr>
          <w:rFonts w:asciiTheme="minorEastAsia" w:eastAsiaTheme="minorEastAsia" w:hAnsiTheme="minorEastAsia" w:hint="eastAsia"/>
          <w:bCs/>
          <w:szCs w:val="21"/>
        </w:rPr>
        <w:t>GH</w:t>
      </w:r>
      <w:r w:rsidRPr="00EB52DF">
        <w:rPr>
          <w:rFonts w:asciiTheme="minorEastAsia" w:eastAsiaTheme="minorEastAsia" w:hAnsiTheme="minorEastAsia" w:hint="eastAsia"/>
          <w:bCs/>
          <w:szCs w:val="21"/>
        </w:rPr>
        <w:t>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D56D8C">
        <w:rPr>
          <w:rFonts w:asciiTheme="minorEastAsia" w:eastAsiaTheme="minorEastAsia" w:hAnsiTheme="minorEastAsia" w:hint="eastAsia"/>
          <w:bCs/>
          <w:szCs w:val="21"/>
        </w:rPr>
        <w:t>1</w:t>
      </w:r>
      <w:r w:rsidR="00F924B3">
        <w:rPr>
          <w:rFonts w:asciiTheme="minorEastAsia" w:eastAsiaTheme="minorEastAsia" w:hAnsiTheme="minorEastAsia" w:hint="eastAsia"/>
          <w:bCs/>
          <w:szCs w:val="21"/>
        </w:rPr>
        <w:t>2</w:t>
      </w:r>
      <w:r w:rsidRPr="00EB52DF">
        <w:rPr>
          <w:rFonts w:asciiTheme="minorEastAsia" w:eastAsiaTheme="minorEastAsia" w:hAnsiTheme="minorEastAsia" w:hint="eastAsia"/>
          <w:bCs/>
          <w:szCs w:val="21"/>
        </w:rPr>
        <w:t>-</w:t>
      </w:r>
      <w:r w:rsidR="00CF6877">
        <w:rPr>
          <w:rFonts w:asciiTheme="minorEastAsia" w:eastAsiaTheme="minorEastAsia" w:hAnsiTheme="minorEastAsia" w:hint="eastAsia"/>
          <w:bCs/>
          <w:szCs w:val="21"/>
        </w:rPr>
        <w:t>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F924B3" w:rsidRPr="00794C1E" w:rsidRDefault="0041108F" w:rsidP="00794C1E">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w:t>
      </w:r>
      <w:r w:rsidRPr="00E24A60">
        <w:rPr>
          <w:rFonts w:asciiTheme="minorEastAsia" w:eastAsiaTheme="minorEastAsia" w:hAnsiTheme="minorEastAsia" w:hint="eastAsia"/>
          <w:color w:val="000000"/>
          <w:szCs w:val="21"/>
        </w:rPr>
        <w:t>投标人</w:t>
      </w:r>
      <w:r w:rsidR="00E24A60" w:rsidRPr="00E24A60">
        <w:rPr>
          <w:rFonts w:asciiTheme="minorEastAsia" w:eastAsiaTheme="minorEastAsia" w:hAnsiTheme="minorEastAsia" w:cs="仿宋_GB2312" w:hint="eastAsia"/>
          <w:szCs w:val="21"/>
        </w:rPr>
        <w:t>，不允许分包</w:t>
      </w:r>
      <w:r w:rsidRPr="00E24A60">
        <w:rPr>
          <w:rFonts w:asciiTheme="minorEastAsia" w:eastAsiaTheme="minorEastAsia" w:hAnsiTheme="minorEastAsia" w:hint="eastAsia"/>
          <w:color w:val="00000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E24A60">
        <w:rPr>
          <w:rFonts w:asciiTheme="minorEastAsia" w:eastAsiaTheme="minorEastAsia" w:hAnsiTheme="minorEastAsia" w:cs="宋体" w:hint="eastAsia"/>
          <w:szCs w:val="21"/>
        </w:rPr>
        <w:t>20</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E24A60">
        <w:rPr>
          <w:rFonts w:asciiTheme="minorEastAsia" w:eastAsiaTheme="minorEastAsia" w:hAnsiTheme="minorEastAsia" w:cs="宋体" w:hint="eastAsia"/>
          <w:szCs w:val="21"/>
        </w:rPr>
        <w:t>24</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E24A60" w:rsidRPr="00E24A60" w:rsidRDefault="0041108F" w:rsidP="00E24A60">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56D8C">
        <w:rPr>
          <w:rFonts w:asciiTheme="minorEastAsia" w:eastAsiaTheme="minorEastAsia" w:hAnsiTheme="minorEastAsia" w:cs="宋体" w:hint="eastAsia"/>
          <w:kern w:val="0"/>
          <w:szCs w:val="21"/>
        </w:rPr>
        <w:t>1</w:t>
      </w:r>
      <w:r w:rsidR="00F924B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月</w:t>
      </w:r>
      <w:r w:rsidR="00E24A60">
        <w:rPr>
          <w:rFonts w:asciiTheme="minorEastAsia" w:eastAsiaTheme="minorEastAsia" w:hAnsiTheme="minorEastAsia" w:cs="宋体" w:hint="eastAsia"/>
          <w:kern w:val="0"/>
          <w:szCs w:val="21"/>
        </w:rPr>
        <w:t>27</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月</w:t>
      </w:r>
      <w:r w:rsidR="00E24A60">
        <w:rPr>
          <w:rFonts w:asciiTheme="minorEastAsia" w:eastAsiaTheme="minorEastAsia" w:hAnsiTheme="minorEastAsia" w:cs="宋体" w:hint="eastAsia"/>
          <w:szCs w:val="21"/>
        </w:rPr>
        <w:t>28</w:t>
      </w:r>
      <w:r w:rsidRPr="006A3CF4">
        <w:rPr>
          <w:rFonts w:asciiTheme="minorEastAsia" w:eastAsiaTheme="minorEastAsia" w:hAnsiTheme="minorEastAsia" w:cs="宋体"/>
          <w:szCs w:val="21"/>
        </w:rPr>
        <w:t>日</w:t>
      </w:r>
      <w:r w:rsidR="00794C1E">
        <w:rPr>
          <w:rFonts w:asciiTheme="minorEastAsia" w:eastAsiaTheme="minorEastAsia" w:hAnsiTheme="minorEastAsia" w:cs="宋体" w:hint="eastAsia"/>
          <w:szCs w:val="21"/>
        </w:rPr>
        <w:t>14</w:t>
      </w:r>
      <w:r w:rsidR="00F924B3">
        <w:rPr>
          <w:rFonts w:asciiTheme="minorEastAsia" w:eastAsiaTheme="minorEastAsia" w:hAnsiTheme="minorEastAsia" w:cs="宋体" w:hint="eastAsia"/>
          <w:szCs w:val="21"/>
        </w:rPr>
        <w:t>:</w:t>
      </w:r>
      <w:r w:rsidR="00794C1E">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F924B3"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F924B3" w:rsidRPr="006A3CF4" w:rsidRDefault="00F924B3" w:rsidP="00F924B3">
      <w:pPr>
        <w:pStyle w:val="a4"/>
        <w:spacing w:line="276" w:lineRule="auto"/>
        <w:ind w:left="480" w:firstLineChars="0" w:firstLine="0"/>
        <w:rPr>
          <w:rFonts w:asciiTheme="minorEastAsia" w:eastAsiaTheme="minorEastAsia" w:hAnsiTheme="minorEastAsia" w:cs="宋体"/>
          <w:szCs w:val="21"/>
        </w:rPr>
      </w:pPr>
    </w:p>
    <w:p w:rsidR="00340CF0" w:rsidRPr="00F924B3" w:rsidRDefault="00F924B3" w:rsidP="00F924B3">
      <w:pPr>
        <w:pStyle w:val="a3"/>
        <w:spacing w:line="276" w:lineRule="auto"/>
        <w:ind w:leftChars="50" w:left="105" w:right="465" w:firstLine="0"/>
        <w:jc w:val="right"/>
        <w:rPr>
          <w:rFonts w:asciiTheme="minorEastAsia" w:eastAsiaTheme="minorEastAsia" w:hAnsiTheme="minorEastAsia"/>
          <w:sz w:val="21"/>
          <w:szCs w:val="21"/>
        </w:rPr>
      </w:pPr>
      <w:r w:rsidRPr="00F924B3">
        <w:rPr>
          <w:rFonts w:asciiTheme="minorEastAsia" w:eastAsiaTheme="minorEastAsia" w:hAnsiTheme="minorEastAsia" w:hint="eastAsia"/>
          <w:sz w:val="21"/>
          <w:szCs w:val="21"/>
        </w:rPr>
        <w:t>深圳市前海蛇口自贸区医院</w:t>
      </w:r>
      <w:r w:rsidR="00EB52DF" w:rsidRPr="00F924B3">
        <w:rPr>
          <w:rFonts w:asciiTheme="minorEastAsia" w:eastAsiaTheme="minorEastAsia" w:hAnsiTheme="minorEastAsia" w:cs="宋体" w:hint="eastAsia"/>
          <w:sz w:val="21"/>
          <w:szCs w:val="21"/>
        </w:rPr>
        <w:t>采购</w:t>
      </w:r>
      <w:r w:rsidR="00340CF0" w:rsidRPr="00F924B3">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56D8C">
        <w:rPr>
          <w:rFonts w:asciiTheme="minorEastAsia" w:eastAsiaTheme="minorEastAsia" w:hAnsiTheme="minorEastAsia" w:cs="宋体" w:hint="eastAsia"/>
          <w:sz w:val="21"/>
          <w:szCs w:val="21"/>
        </w:rPr>
        <w:t>1</w:t>
      </w:r>
      <w:r w:rsidR="00E24A60">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月</w:t>
      </w:r>
      <w:r w:rsidR="00E24A60">
        <w:rPr>
          <w:rFonts w:asciiTheme="minorEastAsia" w:eastAsiaTheme="minorEastAsia" w:hAnsiTheme="minorEastAsia" w:cs="宋体" w:hint="eastAsia"/>
          <w:sz w:val="21"/>
          <w:szCs w:val="21"/>
        </w:rPr>
        <w:t>17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4A1004" w:rsidRPr="00235485" w:rsidRDefault="004A1004" w:rsidP="00CF6877">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4A1004" w:rsidRPr="00235485" w:rsidRDefault="004A1004" w:rsidP="004A1004">
      <w:pPr>
        <w:snapToGrid w:val="0"/>
        <w:rPr>
          <w:rFonts w:asciiTheme="minorEastAsia" w:eastAsiaTheme="minorEastAsia" w:hAnsiTheme="minorEastAsia"/>
          <w:szCs w:val="21"/>
        </w:rPr>
      </w:pPr>
    </w:p>
    <w:p w:rsidR="004A1004" w:rsidRPr="00235485" w:rsidRDefault="004A1004" w:rsidP="004A100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4A1004" w:rsidRPr="00235485" w:rsidRDefault="004A1004" w:rsidP="004A100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w:t>
      </w:r>
      <w:r w:rsidRPr="00235485">
        <w:rPr>
          <w:rFonts w:asciiTheme="minorEastAsia" w:eastAsiaTheme="minorEastAsia" w:hAnsiTheme="minorEastAsia" w:hint="eastAsia"/>
          <w:szCs w:val="21"/>
        </w:rPr>
        <w:lastRenderedPageBreak/>
        <w:t>的采购合同及本单位在投标中所作的一切承诺履约。我单位对本项目的报价负责，中标后将严格按照本项目招标文件需求、签署的采购合同及我单位在投标中所作的全部承诺履行。</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4A1004" w:rsidRPr="00235485" w:rsidRDefault="004A1004" w:rsidP="004A100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4A1004" w:rsidRPr="00235485" w:rsidRDefault="004A1004" w:rsidP="004A100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4A1004" w:rsidRDefault="004A1004" w:rsidP="004A1004">
      <w:pPr>
        <w:snapToGrid w:val="0"/>
        <w:ind w:right="450" w:firstLineChars="200" w:firstLine="480"/>
        <w:jc w:val="right"/>
        <w:rPr>
          <w:rFonts w:ascii="仿宋" w:eastAsia="仿宋" w:hAnsi="仿宋"/>
          <w:sz w:val="24"/>
        </w:rPr>
      </w:pPr>
    </w:p>
    <w:p w:rsidR="004A1004" w:rsidRPr="00235485" w:rsidRDefault="004A1004" w:rsidP="004A1004">
      <w:pPr>
        <w:snapToGrid w:val="0"/>
        <w:ind w:right="450" w:firstLineChars="200" w:firstLine="420"/>
        <w:jc w:val="right"/>
        <w:rPr>
          <w:rFonts w:ascii="仿宋" w:eastAsia="仿宋" w:hAnsi="仿宋"/>
          <w:szCs w:val="21"/>
        </w:rPr>
      </w:pPr>
    </w:p>
    <w:p w:rsidR="004A1004" w:rsidRPr="00235485" w:rsidRDefault="004A1004" w:rsidP="004A100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w:t>
      </w:r>
      <w:r w:rsidRPr="00235485">
        <w:rPr>
          <w:rFonts w:ascii="宋体" w:hAnsi="宋体" w:hint="eastAsia"/>
          <w:b/>
          <w:color w:val="FF0000"/>
          <w:kern w:val="0"/>
          <w:szCs w:val="21"/>
        </w:rPr>
        <w:lastRenderedPageBreak/>
        <w:t>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4A64D7" w:rsidRPr="004A1004" w:rsidRDefault="004A64D7" w:rsidP="00F924B3">
      <w:pPr>
        <w:rPr>
          <w:rFonts w:asciiTheme="minorEastAsia" w:eastAsiaTheme="minorEastAsia" w:hAnsiTheme="minorEastAsia"/>
          <w:szCs w:val="21"/>
        </w:rPr>
      </w:pPr>
    </w:p>
    <w:sectPr w:rsidR="004A64D7" w:rsidRPr="004A1004"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E5" w:rsidRDefault="006376E5" w:rsidP="00402F64">
      <w:r>
        <w:separator/>
      </w:r>
    </w:p>
  </w:endnote>
  <w:endnote w:type="continuationSeparator" w:id="0">
    <w:p w:rsidR="006376E5" w:rsidRDefault="006376E5"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E5" w:rsidRDefault="006376E5" w:rsidP="00402F64">
      <w:r>
        <w:separator/>
      </w:r>
    </w:p>
  </w:footnote>
  <w:footnote w:type="continuationSeparator" w:id="0">
    <w:p w:rsidR="006376E5" w:rsidRDefault="006376E5"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9160A"/>
    <w:rsid w:val="000A7EF7"/>
    <w:rsid w:val="000C2858"/>
    <w:rsid w:val="000C7C47"/>
    <w:rsid w:val="000D55F8"/>
    <w:rsid w:val="00146079"/>
    <w:rsid w:val="00152987"/>
    <w:rsid w:val="001764CD"/>
    <w:rsid w:val="00186C5D"/>
    <w:rsid w:val="0019009D"/>
    <w:rsid w:val="001911A0"/>
    <w:rsid w:val="001A480A"/>
    <w:rsid w:val="001A799B"/>
    <w:rsid w:val="001E1EDB"/>
    <w:rsid w:val="001E2B5F"/>
    <w:rsid w:val="00217656"/>
    <w:rsid w:val="00244148"/>
    <w:rsid w:val="00251280"/>
    <w:rsid w:val="002962DE"/>
    <w:rsid w:val="002C65E4"/>
    <w:rsid w:val="00315971"/>
    <w:rsid w:val="00327FDE"/>
    <w:rsid w:val="00340CF0"/>
    <w:rsid w:val="0038527F"/>
    <w:rsid w:val="003920BB"/>
    <w:rsid w:val="003A39BC"/>
    <w:rsid w:val="003A6CF6"/>
    <w:rsid w:val="003B1839"/>
    <w:rsid w:val="003C3E7C"/>
    <w:rsid w:val="003E2DE2"/>
    <w:rsid w:val="003E2FF5"/>
    <w:rsid w:val="003F0146"/>
    <w:rsid w:val="00402F64"/>
    <w:rsid w:val="00405DDC"/>
    <w:rsid w:val="0041108F"/>
    <w:rsid w:val="004572F6"/>
    <w:rsid w:val="004927A6"/>
    <w:rsid w:val="004A1004"/>
    <w:rsid w:val="004A64D7"/>
    <w:rsid w:val="004B6A77"/>
    <w:rsid w:val="004F071C"/>
    <w:rsid w:val="00501DA0"/>
    <w:rsid w:val="00515437"/>
    <w:rsid w:val="00586BB9"/>
    <w:rsid w:val="005A22C8"/>
    <w:rsid w:val="005E6183"/>
    <w:rsid w:val="006376E5"/>
    <w:rsid w:val="0066523D"/>
    <w:rsid w:val="006A3CF4"/>
    <w:rsid w:val="006B311E"/>
    <w:rsid w:val="006C054D"/>
    <w:rsid w:val="006C26F4"/>
    <w:rsid w:val="006D03FD"/>
    <w:rsid w:val="00794C1E"/>
    <w:rsid w:val="007B194C"/>
    <w:rsid w:val="007B6DD5"/>
    <w:rsid w:val="007C7F6E"/>
    <w:rsid w:val="007E0F6C"/>
    <w:rsid w:val="00863F53"/>
    <w:rsid w:val="00882CC4"/>
    <w:rsid w:val="008B175D"/>
    <w:rsid w:val="008B4CE8"/>
    <w:rsid w:val="008C2A69"/>
    <w:rsid w:val="0090654A"/>
    <w:rsid w:val="00937719"/>
    <w:rsid w:val="00937CDC"/>
    <w:rsid w:val="00945FAB"/>
    <w:rsid w:val="009A472F"/>
    <w:rsid w:val="009B23F4"/>
    <w:rsid w:val="009C0F66"/>
    <w:rsid w:val="00A21B9C"/>
    <w:rsid w:val="00A53899"/>
    <w:rsid w:val="00A55C64"/>
    <w:rsid w:val="00A779F8"/>
    <w:rsid w:val="00AA1320"/>
    <w:rsid w:val="00AE1722"/>
    <w:rsid w:val="00B020DE"/>
    <w:rsid w:val="00B22D31"/>
    <w:rsid w:val="00B40699"/>
    <w:rsid w:val="00BB05E2"/>
    <w:rsid w:val="00C27A98"/>
    <w:rsid w:val="00C40807"/>
    <w:rsid w:val="00C67B1A"/>
    <w:rsid w:val="00C85966"/>
    <w:rsid w:val="00CC31A3"/>
    <w:rsid w:val="00CF4C5E"/>
    <w:rsid w:val="00CF6877"/>
    <w:rsid w:val="00D15017"/>
    <w:rsid w:val="00D21854"/>
    <w:rsid w:val="00D26DEE"/>
    <w:rsid w:val="00D561BA"/>
    <w:rsid w:val="00D56D8C"/>
    <w:rsid w:val="00DE0F1F"/>
    <w:rsid w:val="00E1213C"/>
    <w:rsid w:val="00E24A60"/>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924B3"/>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8DB6-D80F-446B-9BD8-56BA329A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327</Words>
  <Characters>1868</Characters>
  <Application>Microsoft Office Word</Application>
  <DocSecurity>0</DocSecurity>
  <Lines>15</Lines>
  <Paragraphs>4</Paragraphs>
  <ScaleCrop>false</ScaleCrop>
  <Company>hp</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108</cp:revision>
  <cp:lastPrinted>2015-07-06T03:10:00Z</cp:lastPrinted>
  <dcterms:created xsi:type="dcterms:W3CDTF">2015-06-25T11:13:00Z</dcterms:created>
  <dcterms:modified xsi:type="dcterms:W3CDTF">2021-12-17T07:45:00Z</dcterms:modified>
</cp:coreProperties>
</file>