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ind w:leftChars="0"/>
      </w:pPr>
      <w:bookmarkStart w:id="0" w:name="_Toc508209843"/>
      <w:r>
        <w:t>严重不良事件报告表</w:t>
      </w:r>
      <w:r>
        <w:rPr>
          <w:rFonts w:hint="eastAsia"/>
        </w:rPr>
        <w:t>（CTI-C-004.17</w:t>
      </w:r>
      <w:r>
        <w:t>-A</w:t>
      </w:r>
      <w:r>
        <w:rPr>
          <w:rFonts w:hint="eastAsia"/>
        </w:rPr>
        <w:t>0</w:t>
      </w:r>
      <w:r>
        <w:t>1-V1.0</w:t>
      </w:r>
      <w:r>
        <w:rPr>
          <w:rFonts w:hint="eastAsia"/>
        </w:rPr>
        <w:t>）</w:t>
      </w:r>
      <w:bookmarkEnd w:id="0"/>
    </w:p>
    <w:p>
      <w:pPr>
        <w:widowControl/>
        <w:jc w:val="center"/>
        <w:rPr>
          <w:rFonts w:ascii="ˎ̥" w:hAnsi="ˎ̥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严重不良事件报告表</w:t>
      </w:r>
      <w:r>
        <w:rPr>
          <w:rFonts w:hint="eastAsia" w:ascii="楷体_GB2312" w:hAnsi="ˎ̥" w:eastAsia="楷体_GB2312" w:cs="宋体"/>
          <w:b/>
          <w:bCs/>
          <w:kern w:val="0"/>
          <w:sz w:val="24"/>
        </w:rPr>
        <w:t>（</w:t>
      </w:r>
      <w:r>
        <w:rPr>
          <w:rFonts w:ascii="Arial" w:hAnsi="Arial" w:eastAsia="楷体_GB2312" w:cs="Arial"/>
          <w:b/>
          <w:bCs/>
          <w:kern w:val="0"/>
          <w:sz w:val="24"/>
        </w:rPr>
        <w:t>SAE</w:t>
      </w:r>
      <w:r>
        <w:rPr>
          <w:rFonts w:hint="eastAsia" w:ascii="楷体_GB2312" w:hAnsi="ˎ̥" w:eastAsia="楷体_GB2312" w:cs="宋体"/>
          <w:b/>
          <w:bCs/>
          <w:kern w:val="0"/>
          <w:sz w:val="24"/>
        </w:rPr>
        <w:t>）</w:t>
      </w:r>
    </w:p>
    <w:p>
      <w:pPr>
        <w:widowControl/>
        <w:spacing w:line="300" w:lineRule="auto"/>
        <w:jc w:val="left"/>
        <w:rPr>
          <w:rFonts w:ascii="ˎ̥" w:hAnsi="ˎ̥" w:cs="宋体"/>
          <w:kern w:val="0"/>
          <w:szCs w:val="21"/>
        </w:rPr>
      </w:pPr>
      <w:r>
        <w:rPr>
          <w:rFonts w:hint="eastAsia" w:ascii="ˎ̥" w:hAnsi="ˎ̥" w:cs="宋体"/>
          <w:kern w:val="0"/>
          <w:szCs w:val="21"/>
        </w:rPr>
        <w:t>新药临床研究批准文号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hint="eastAsia" w:ascii="仿宋_GB2312" w:hAnsi="ˎ̥" w:eastAsia="仿宋_GB2312" w:cs="宋体"/>
          <w:kern w:val="0"/>
          <w:szCs w:val="21"/>
        </w:rPr>
        <w:t xml:space="preserve">                                   </w:t>
      </w:r>
      <w:r>
        <w:rPr>
          <w:rFonts w:hint="eastAsia" w:ascii="宋体" w:hAnsi="宋体" w:cs="宋体"/>
          <w:kern w:val="0"/>
          <w:szCs w:val="21"/>
        </w:rPr>
        <w:t>编号：</w:t>
      </w:r>
    </w:p>
    <w:tbl>
      <w:tblPr>
        <w:tblStyle w:val="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608"/>
        <w:gridCol w:w="622"/>
        <w:gridCol w:w="655"/>
        <w:gridCol w:w="1026"/>
        <w:gridCol w:w="724"/>
        <w:gridCol w:w="924"/>
        <w:gridCol w:w="16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报告类型</w:t>
            </w:r>
          </w:p>
        </w:tc>
        <w:tc>
          <w:tcPr>
            <w:tcW w:w="39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hint="eastAsia" w:ascii="ˎ̥" w:hAnsi="ˎ̥" w:cs="宋体"/>
                <w:kern w:val="0"/>
                <w:szCs w:val="21"/>
              </w:rPr>
              <w:t>首次报告</w:t>
            </w:r>
            <w:r>
              <w:rPr>
                <w:rFonts w:ascii="ˎ̥" w:hAnsi="ˎ̥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hint="eastAsia" w:ascii="ˎ̥" w:hAnsi="ˎ̥" w:cs="宋体"/>
                <w:kern w:val="0"/>
                <w:szCs w:val="21"/>
              </w:rPr>
              <w:t>随访报告</w:t>
            </w:r>
            <w:r>
              <w:rPr>
                <w:rFonts w:ascii="ˎ̥" w:hAnsi="ˎ̥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hint="eastAsia" w:ascii="ˎ̥" w:hAnsi="ˎ̥" w:cs="宋体"/>
                <w:kern w:val="0"/>
                <w:szCs w:val="21"/>
              </w:rPr>
              <w:t>总结报告</w:t>
            </w:r>
          </w:p>
        </w:tc>
        <w:tc>
          <w:tcPr>
            <w:tcW w:w="32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报告时间：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医疗机构及专业名称</w:t>
            </w:r>
          </w:p>
        </w:tc>
        <w:tc>
          <w:tcPr>
            <w:tcW w:w="39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5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申报单位名称</w:t>
            </w:r>
          </w:p>
        </w:tc>
        <w:tc>
          <w:tcPr>
            <w:tcW w:w="39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5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试验用药物名称</w:t>
            </w:r>
          </w:p>
        </w:tc>
        <w:tc>
          <w:tcPr>
            <w:tcW w:w="72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中文名称：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72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英文名称：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药物类别</w:t>
            </w:r>
          </w:p>
        </w:tc>
        <w:tc>
          <w:tcPr>
            <w:tcW w:w="55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hint="eastAsia" w:ascii="ˎ̥" w:hAnsi="ˎ̥" w:cs="宋体"/>
                <w:kern w:val="0"/>
                <w:szCs w:val="21"/>
              </w:rPr>
              <w:t>中药</w:t>
            </w:r>
            <w:r>
              <w:rPr>
                <w:rFonts w:ascii="ˎ̥" w:hAnsi="ˎ̥" w:cs="宋体"/>
                <w:kern w:val="0"/>
                <w:szCs w:val="21"/>
              </w:rPr>
              <w:t xml:space="preserve">    </w:t>
            </w:r>
            <w:r>
              <w:rPr>
                <w:rFonts w:ascii="ˎ̥" w:hAnsi="ˎ̥" w:cs="宋体"/>
                <w:spacing w:val="-30"/>
                <w:kern w:val="0"/>
                <w:szCs w:val="21"/>
              </w:rPr>
              <w:t xml:space="preserve"> </w:t>
            </w: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hint="eastAsia" w:ascii="ˎ̥" w:hAnsi="ˎ̥" w:cs="宋体"/>
                <w:kern w:val="0"/>
                <w:szCs w:val="21"/>
              </w:rPr>
              <w:t>化学药</w:t>
            </w:r>
            <w:r>
              <w:rPr>
                <w:rFonts w:ascii="ˎ̥" w:hAnsi="ˎ̥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hint="eastAsia" w:ascii="ˎ̥" w:hAnsi="ˎ̥" w:cs="宋体"/>
                <w:kern w:val="0"/>
                <w:szCs w:val="21"/>
              </w:rPr>
              <w:t>新生物制品</w:t>
            </w:r>
            <w:r>
              <w:rPr>
                <w:rFonts w:ascii="ˎ̥" w:hAnsi="ˎ̥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hint="eastAsia" w:ascii="ˎ̥" w:hAnsi="ˎ̥" w:cs="宋体"/>
                <w:kern w:val="0"/>
                <w:szCs w:val="21"/>
              </w:rPr>
              <w:t>放射性药</w:t>
            </w:r>
            <w:r>
              <w:rPr>
                <w:rFonts w:ascii="ˎ̥" w:hAnsi="ˎ̥" w:cs="宋体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hint="eastAsia" w:ascii="ˎ̥" w:hAnsi="ˎ̥" w:cs="宋体"/>
                <w:kern w:val="0"/>
                <w:szCs w:val="21"/>
              </w:rPr>
              <w:t>进口药</w:t>
            </w:r>
            <w:r>
              <w:rPr>
                <w:rFonts w:ascii="ˎ̥" w:hAnsi="ˎ̥" w:cs="宋体"/>
                <w:kern w:val="0"/>
                <w:szCs w:val="21"/>
              </w:rPr>
              <w:t xml:space="preserve">   </w:t>
            </w: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  <w:r>
              <w:rPr>
                <w:rFonts w:hint="eastAsia" w:ascii="ˎ̥" w:hAnsi="ˎ̥" w:cs="宋体"/>
                <w:kern w:val="0"/>
                <w:szCs w:val="21"/>
              </w:rPr>
              <w:t>其他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     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临床研究分期</w:t>
            </w:r>
          </w:p>
        </w:tc>
        <w:tc>
          <w:tcPr>
            <w:tcW w:w="55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ascii="Arial" w:hAnsi="Arial" w:cs="Arial"/>
                <w:kern w:val="0"/>
                <w:szCs w:val="21"/>
              </w:rPr>
              <w:t>I</w:t>
            </w:r>
            <w:r>
              <w:rPr>
                <w:rFonts w:hint="eastAsia" w:ascii="Arial" w:hAnsi="ˎ̥" w:cs="Arial"/>
                <w:kern w:val="0"/>
                <w:szCs w:val="21"/>
              </w:rPr>
              <w:t>期</w:t>
            </w:r>
            <w:r>
              <w:rPr>
                <w:rFonts w:ascii="ˎ̥" w:hAnsi="ˎ̥" w:cs="宋体"/>
                <w:kern w:val="0"/>
                <w:szCs w:val="21"/>
              </w:rPr>
              <w:t xml:space="preserve">     </w:t>
            </w: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ascii="Arial" w:hAnsi="Arial" w:cs="Arial"/>
                <w:kern w:val="0"/>
                <w:szCs w:val="21"/>
              </w:rPr>
              <w:t>II</w:t>
            </w:r>
            <w:r>
              <w:rPr>
                <w:rFonts w:hint="eastAsia" w:ascii="Arial" w:hAnsi="ˎ̥" w:cs="Arial"/>
                <w:kern w:val="0"/>
                <w:szCs w:val="21"/>
              </w:rPr>
              <w:t>期</w:t>
            </w:r>
            <w:r>
              <w:rPr>
                <w:rFonts w:ascii="ˎ̥" w:hAnsi="ˎ̥" w:cs="宋体"/>
                <w:kern w:val="0"/>
                <w:szCs w:val="21"/>
              </w:rPr>
              <w:t xml:space="preserve">     </w:t>
            </w:r>
            <w:r>
              <w:rPr>
                <w:rFonts w:ascii="ˎ̥" w:hAnsi="ˎ̥" w:cs="宋体"/>
                <w:spacing w:val="-30"/>
                <w:kern w:val="0"/>
                <w:szCs w:val="21"/>
              </w:rPr>
              <w:t xml:space="preserve"> </w:t>
            </w: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ascii="Arial" w:hAnsi="Arial" w:cs="Arial"/>
                <w:kern w:val="0"/>
                <w:szCs w:val="21"/>
              </w:rPr>
              <w:t xml:space="preserve">III </w:t>
            </w:r>
            <w:r>
              <w:rPr>
                <w:rFonts w:hint="eastAsia" w:ascii="Arial" w:hAnsi="ˎ̥" w:cs="Arial"/>
                <w:kern w:val="0"/>
                <w:szCs w:val="21"/>
              </w:rPr>
              <w:t>期</w:t>
            </w:r>
            <w:r>
              <w:rPr>
                <w:rFonts w:ascii="ˎ̥" w:hAnsi="ˎ̥" w:cs="宋体"/>
                <w:kern w:val="0"/>
                <w:szCs w:val="21"/>
              </w:rPr>
              <w:t xml:space="preserve">     </w:t>
            </w: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ascii="Arial" w:hAnsi="Arial" w:cs="Arial"/>
                <w:kern w:val="0"/>
                <w:szCs w:val="21"/>
              </w:rPr>
              <w:t>IV</w:t>
            </w:r>
            <w:r>
              <w:rPr>
                <w:rFonts w:hint="eastAsia" w:ascii="Arial" w:hAnsi="ˎ̥" w:cs="Arial"/>
                <w:kern w:val="0"/>
                <w:szCs w:val="21"/>
              </w:rPr>
              <w:t>期</w:t>
            </w:r>
            <w:r>
              <w:rPr>
                <w:rFonts w:ascii="ˎ̥" w:hAnsi="ˎ̥" w:cs="宋体"/>
                <w:kern w:val="0"/>
                <w:szCs w:val="21"/>
              </w:rPr>
              <w:t xml:space="preserve">    </w:t>
            </w:r>
          </w:p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hint="eastAsia" w:ascii="ˎ̥" w:hAnsi="ˎ̥" w:cs="宋体"/>
                <w:kern w:val="0"/>
                <w:szCs w:val="21"/>
              </w:rPr>
              <w:t>生物等效性试验</w:t>
            </w:r>
            <w:r>
              <w:rPr>
                <w:rFonts w:ascii="ˎ̥" w:hAnsi="ˎ̥" w:cs="宋体"/>
                <w:kern w:val="0"/>
                <w:szCs w:val="21"/>
              </w:rPr>
              <w:t xml:space="preserve">     </w:t>
            </w: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hint="eastAsia" w:ascii="ˎ̥" w:hAnsi="ˎ̥" w:cs="宋体"/>
                <w:kern w:val="0"/>
                <w:szCs w:val="21"/>
              </w:rPr>
              <w:t>临床验证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剂型: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受试者情况</w:t>
            </w:r>
          </w:p>
        </w:tc>
        <w:tc>
          <w:tcPr>
            <w:tcW w:w="1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姓名缩写:</w:t>
            </w:r>
          </w:p>
        </w:tc>
        <w:tc>
          <w:tcPr>
            <w:tcW w:w="12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性别:</w:t>
            </w: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出生年月: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72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疾病诊断：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SAE</w:t>
            </w: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72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导致住院    </w:t>
            </w: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延长住院时间    </w:t>
            </w: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伤残    </w:t>
            </w: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功能障碍</w:t>
            </w:r>
          </w:p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导致先天畸形      </w:t>
            </w: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危及生命或死亡      </w:t>
            </w: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8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SAE</w:t>
            </w:r>
            <w:r>
              <w:rPr>
                <w:rFonts w:hint="eastAsia" w:ascii="ˎ̥" w:hAnsi="ˎ̥" w:cs="宋体"/>
                <w:kern w:val="0"/>
                <w:szCs w:val="21"/>
              </w:rPr>
              <w:t>发生时间：</w:t>
            </w:r>
            <w:r>
              <w:rPr>
                <w:rFonts w:ascii="ˎ̥" w:hAnsi="ˎ̥" w:cs="宋体"/>
                <w:kern w:val="0"/>
                <w:szCs w:val="21"/>
              </w:rPr>
              <w:t xml:space="preserve">            </w:t>
            </w:r>
            <w:r>
              <w:rPr>
                <w:rFonts w:hint="eastAsia" w:ascii="ˎ̥" w:hAnsi="ˎ̥" w:cs="宋体"/>
                <w:kern w:val="0"/>
                <w:szCs w:val="21"/>
              </w:rPr>
              <w:t>年</w:t>
            </w:r>
            <w:r>
              <w:rPr>
                <w:rFonts w:ascii="ˎ̥" w:hAnsi="ˎ̥" w:cs="宋体"/>
                <w:kern w:val="0"/>
                <w:szCs w:val="21"/>
              </w:rPr>
              <w:t xml:space="preserve">    </w:t>
            </w:r>
            <w:r>
              <w:rPr>
                <w:rFonts w:hint="eastAsia" w:ascii="ˎ̥" w:hAnsi="ˎ̥" w:cs="宋体"/>
                <w:kern w:val="0"/>
                <w:szCs w:val="21"/>
              </w:rPr>
              <w:t>月</w:t>
            </w:r>
            <w:r>
              <w:rPr>
                <w:rFonts w:ascii="ˎ̥" w:hAnsi="ˎ̥" w:cs="宋体"/>
                <w:kern w:val="0"/>
                <w:szCs w:val="21"/>
              </w:rPr>
              <w:t xml:space="preserve">   </w:t>
            </w:r>
            <w:r>
              <w:rPr>
                <w:rFonts w:hint="eastAsia" w:ascii="ˎ̥" w:hAnsi="ˎ̥" w:cs="宋体"/>
                <w:kern w:val="0"/>
                <w:szCs w:val="21"/>
              </w:rPr>
              <w:t>日</w:t>
            </w:r>
          </w:p>
        </w:tc>
        <w:tc>
          <w:tcPr>
            <w:tcW w:w="49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SAE</w:t>
            </w:r>
            <w:r>
              <w:rPr>
                <w:rFonts w:hint="eastAsia" w:ascii="Arial" w:hAnsi="宋体" w:cs="Arial"/>
                <w:kern w:val="0"/>
                <w:szCs w:val="21"/>
              </w:rPr>
              <w:t>严重程度</w:t>
            </w:r>
            <w:r>
              <w:rPr>
                <w:rFonts w:hint="eastAsia" w:ascii="宋体" w:hAnsi="宋体" w:cs="宋体"/>
                <w:kern w:val="0"/>
                <w:szCs w:val="21"/>
              </w:rPr>
              <w:t>: </w:t>
            </w:r>
            <w:r>
              <w:rPr>
                <w:rFonts w:hint="eastAsia" w:ascii="仿宋体" w:hAnsi="ˎ̥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轻度    </w:t>
            </w: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中度    </w:t>
            </w: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重度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对试验用药采取的措施</w:t>
            </w:r>
          </w:p>
        </w:tc>
        <w:tc>
          <w:tcPr>
            <w:tcW w:w="72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继续用药    </w:t>
            </w: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减小剂量    </w:t>
            </w: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药物暂停后又恢复    </w:t>
            </w: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停用药物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SAE</w:t>
            </w:r>
            <w:r>
              <w:rPr>
                <w:rFonts w:hint="eastAsia" w:ascii="Arial" w:hAnsi="宋体" w:cs="Arial"/>
                <w:kern w:val="0"/>
                <w:szCs w:val="21"/>
              </w:rPr>
              <w:t>转归</w:t>
            </w:r>
          </w:p>
        </w:tc>
        <w:tc>
          <w:tcPr>
            <w:tcW w:w="72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ˎ̥" w:hAnsi="ˎ̥" w:cs="宋体"/>
                <w:kern w:val="0"/>
                <w:szCs w:val="21"/>
              </w:rPr>
              <w:t>症状消失（后遗症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ˎ̥" w:hAnsi="ˎ̥" w:cs="宋体"/>
                <w:kern w:val="0"/>
                <w:szCs w:val="21"/>
              </w:rPr>
              <w:t>有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ˎ̥" w:hAnsi="ˎ̥" w:cs="宋体"/>
                <w:kern w:val="0"/>
                <w:szCs w:val="21"/>
              </w:rPr>
              <w:t>无）</w:t>
            </w:r>
            <w:r>
              <w:rPr>
                <w:rFonts w:ascii="ˎ̥" w:hAnsi="ˎ̥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ˎ̥" w:hAnsi="ˎ̥" w:cs="宋体"/>
                <w:kern w:val="0"/>
                <w:szCs w:val="21"/>
              </w:rPr>
              <w:t>症状持续</w:t>
            </w:r>
            <w:r>
              <w:rPr>
                <w:rFonts w:ascii="ˎ̥" w:hAnsi="ˎ̥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ˎ̥" w:hAnsi="ˎ̥" w:cs="宋体"/>
                <w:kern w:val="0"/>
                <w:szCs w:val="21"/>
              </w:rPr>
              <w:t>死亡（死亡时间：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年 </w:t>
            </w:r>
            <w:r>
              <w:rPr>
                <w:rFonts w:ascii="ˎ̥" w:hAnsi="ˎ̥" w:cs="宋体"/>
                <w:kern w:val="0"/>
                <w:szCs w:val="21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ˎ̥" w:hAnsi="ˎ̥" w:cs="宋体"/>
                <w:kern w:val="0"/>
                <w:szCs w:val="21"/>
              </w:rPr>
              <w:t xml:space="preserve"> </w:t>
            </w:r>
            <w:r>
              <w:rPr>
                <w:rFonts w:hint="eastAsia" w:ascii="ˎ̥" w:hAnsi="ˎ̥" w:cs="宋体"/>
                <w:kern w:val="0"/>
                <w:szCs w:val="21"/>
              </w:rPr>
              <w:t>日）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SAE</w:t>
            </w:r>
            <w:r>
              <w:rPr>
                <w:rFonts w:hint="eastAsia" w:ascii="Arial" w:hAnsi="宋体" w:cs="Arial"/>
                <w:kern w:val="0"/>
                <w:szCs w:val="21"/>
              </w:rPr>
              <w:t>与试验药的关系</w:t>
            </w:r>
          </w:p>
        </w:tc>
        <w:tc>
          <w:tcPr>
            <w:tcW w:w="72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肯定有关  </w:t>
            </w: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可能有关  </w:t>
            </w: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可能无关  </w:t>
            </w: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无关  </w:t>
            </w: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无法判定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破盲情况</w:t>
            </w:r>
          </w:p>
        </w:tc>
        <w:tc>
          <w:tcPr>
            <w:tcW w:w="72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未破盲    </w:t>
            </w: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已破盲（破盲时间：         年      月      日）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SAE</w:t>
            </w:r>
            <w:r>
              <w:rPr>
                <w:rFonts w:hint="eastAsia" w:ascii="Arial" w:hAnsi="宋体" w:cs="Arial"/>
                <w:kern w:val="0"/>
                <w:szCs w:val="21"/>
              </w:rPr>
              <w:t>报道情况</w:t>
            </w:r>
          </w:p>
        </w:tc>
        <w:tc>
          <w:tcPr>
            <w:tcW w:w="720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国内：  </w:t>
            </w: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有     </w:t>
            </w: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无     </w:t>
            </w: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不详 </w:t>
            </w:r>
          </w:p>
          <w:p>
            <w:pPr>
              <w:widowControl/>
              <w:spacing w:line="300" w:lineRule="auto"/>
              <w:jc w:val="left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国外：  </w:t>
            </w: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有     </w:t>
            </w: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无     </w:t>
            </w:r>
            <w:r>
              <w:rPr>
                <w:rFonts w:hint="eastAsia" w:ascii="仿宋体" w:hAnsi="宋体" w:eastAsia="仿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不详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79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SAE</w:t>
            </w:r>
            <w:r>
              <w:rPr>
                <w:rFonts w:hint="eastAsia" w:ascii="Arial" w:hAnsi="ˎ̥" w:cs="Arial"/>
                <w:kern w:val="0"/>
                <w:szCs w:val="21"/>
              </w:rPr>
              <w:t>发生及处理的详细情况：</w:t>
            </w:r>
          </w:p>
        </w:tc>
      </w:tr>
    </w:tbl>
    <w:p>
      <w:pPr>
        <w:widowControl/>
        <w:spacing w:before="120" w:beforeLines="50" w:line="300" w:lineRule="auto"/>
        <w:jc w:val="left"/>
        <w:rPr>
          <w:rFonts w:ascii="ˎ̥" w:hAnsi="ˎ̥" w:cs="宋体"/>
          <w:kern w:val="0"/>
          <w:szCs w:val="21"/>
          <w:u w:val="single"/>
        </w:rPr>
      </w:pPr>
      <w:r>
        <w:rPr>
          <w:rFonts w:hint="eastAsia" w:ascii="ˎ̥" w:hAnsi="ˎ̥" w:cs="宋体"/>
          <w:kern w:val="0"/>
          <w:szCs w:val="21"/>
        </w:rPr>
        <w:t>报告单位名称：</w:t>
      </w:r>
      <w:r>
        <w:rPr>
          <w:rFonts w:ascii="ˎ̥" w:hAnsi="ˎ̥" w:cs="宋体"/>
          <w:kern w:val="0"/>
          <w:szCs w:val="21"/>
          <w:u w:val="single"/>
        </w:rPr>
        <w:t xml:space="preserve">                                                                  </w:t>
      </w:r>
    </w:p>
    <w:p>
      <w:pPr>
        <w:widowControl/>
        <w:spacing w:before="120" w:beforeLines="50" w:line="300" w:lineRule="auto"/>
        <w:jc w:val="left"/>
        <w:rPr>
          <w:rFonts w:hint="eastAsia" w:ascii="ˎ̥" w:hAnsi="ˎ̥" w:cs="宋体"/>
          <w:kern w:val="0"/>
          <w:szCs w:val="21"/>
          <w:u w:val="single"/>
        </w:rPr>
      </w:pPr>
      <w:r>
        <w:rPr>
          <w:rFonts w:hint="eastAsia" w:ascii="ˎ̥" w:hAnsi="ˎ̥" w:cs="宋体"/>
          <w:kern w:val="0"/>
          <w:szCs w:val="21"/>
        </w:rPr>
        <w:t>报告人职务</w:t>
      </w:r>
      <w:r>
        <w:rPr>
          <w:rFonts w:ascii="ˎ̥" w:hAnsi="ˎ̥" w:cs="宋体"/>
          <w:kern w:val="0"/>
          <w:szCs w:val="21"/>
        </w:rPr>
        <w:t>/</w:t>
      </w:r>
      <w:r>
        <w:rPr>
          <w:rFonts w:hint="eastAsia" w:ascii="ˎ̥" w:hAnsi="ˎ̥" w:cs="宋体"/>
          <w:kern w:val="0"/>
          <w:szCs w:val="21"/>
        </w:rPr>
        <w:t>职称：</w:t>
      </w:r>
      <w:r>
        <w:rPr>
          <w:rFonts w:ascii="ˎ̥" w:hAnsi="ˎ̥" w:cs="宋体"/>
          <w:kern w:val="0"/>
          <w:szCs w:val="21"/>
          <w:u w:val="single"/>
        </w:rPr>
        <w:t xml:space="preserve">                        </w:t>
      </w:r>
      <w:r>
        <w:rPr>
          <w:rFonts w:hint="eastAsia" w:ascii="ˎ̥" w:hAnsi="ˎ̥" w:cs="宋体"/>
          <w:kern w:val="0"/>
          <w:szCs w:val="21"/>
        </w:rPr>
        <w:t>报告人签名：</w:t>
      </w:r>
      <w:r>
        <w:rPr>
          <w:rFonts w:ascii="ˎ̥" w:hAnsi="ˎ̥" w:cs="宋体"/>
          <w:kern w:val="0"/>
          <w:szCs w:val="21"/>
          <w:u w:val="single"/>
        </w:rPr>
        <w:t xml:space="preserve">                      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180"/>
        <w:tab w:val="clear" w:pos="8306"/>
      </w:tabs>
      <w:jc w:val="right"/>
      <w:rPr>
        <w:rFonts w:hint="eastAsia"/>
        <w:lang w:eastAsia="zh-CN"/>
      </w:rPr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76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 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76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  <w:p>
    <w:pPr>
      <w:pStyle w:val="4"/>
    </w:pPr>
    <w:bookmarkStart w:id="1" w:name="_GoBack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drawing>
        <wp:inline distT="0" distB="0" distL="114300" distR="114300">
          <wp:extent cx="2731770" cy="497840"/>
          <wp:effectExtent l="0" t="0" r="11430" b="16510"/>
          <wp:docPr id="1" name="图片 1" descr="深圳蛇口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深圳蛇口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77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机构文档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78D2"/>
    <w:multiLevelType w:val="singleLevel"/>
    <w:tmpl w:val="58ED78D2"/>
    <w:lvl w:ilvl="0" w:tentative="0">
      <w:start w:val="1"/>
      <w:numFmt w:val="decimal"/>
      <w:pStyle w:val="2"/>
      <w:suff w:val="nothing"/>
      <w:lvlText w:val="%1."/>
      <w:lvlJc w:val="left"/>
      <w:pPr>
        <w:ind w:left="0" w:firstLine="0"/>
      </w:pPr>
      <w:rPr>
        <w:rFonts w:hint="eastAsia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9424A"/>
    <w:rsid w:val="6ACC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numPr>
        <w:ilvl w:val="0"/>
        <w:numId w:val="1"/>
      </w:numPr>
      <w:spacing w:before="0" w:after="0" w:line="360" w:lineRule="auto"/>
      <w:outlineLvl w:val="0"/>
    </w:pPr>
    <w:rPr>
      <w:rFonts w:ascii="Times New Roman" w:hAnsi="宋体" w:eastAsia="宋体"/>
      <w:sz w:val="24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skrmyy</dc:creator>
  <cp:lastModifiedBy>skrmyy</cp:lastModifiedBy>
  <dcterms:modified xsi:type="dcterms:W3CDTF">2019-11-21T07:27:03Z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