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092F7">
      <w:pPr>
        <w:pStyle w:val="18"/>
        <w:widowControl/>
        <w:numPr>
          <w:ilvl w:val="0"/>
          <w:numId w:val="1"/>
        </w:numPr>
        <w:spacing w:line="360" w:lineRule="auto"/>
        <w:jc w:val="left"/>
        <w:rPr>
          <w:rFonts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项目基本情况</w:t>
      </w:r>
    </w:p>
    <w:p w14:paraId="0182D9A3">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shd w:val="clear" w:color="auto" w:fill="FFFF00"/>
        </w:rPr>
        <w:t>项目名称：</w:t>
      </w:r>
      <w:r>
        <w:rPr>
          <w:rFonts w:hint="eastAsia" w:ascii="仿宋_GB2312" w:hAnsi="仿宋_GB2312" w:eastAsia="仿宋_GB2312" w:cs="仿宋_GB2312"/>
          <w:color w:val="auto"/>
          <w:kern w:val="0"/>
          <w:sz w:val="28"/>
          <w:szCs w:val="28"/>
          <w:highlight w:val="none"/>
        </w:rPr>
        <w:t>宫腔镜（一体镜）</w:t>
      </w:r>
    </w:p>
    <w:p w14:paraId="13E3F5C5">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shd w:val="clear" w:color="auto" w:fill="FFFF00"/>
        </w:rPr>
        <w:t>项目预算</w:t>
      </w:r>
      <w:r>
        <w:rPr>
          <w:rFonts w:hint="eastAsia" w:ascii="仿宋_GB2312" w:hAnsi="仿宋_GB2312" w:eastAsia="仿宋_GB2312" w:cs="仿宋_GB2312"/>
          <w:color w:val="auto"/>
          <w:kern w:val="0"/>
          <w:sz w:val="28"/>
          <w:szCs w:val="28"/>
          <w:highlight w:val="none"/>
        </w:rPr>
        <w:t>（单位：元）：10</w:t>
      </w:r>
      <w:r>
        <w:rPr>
          <w:rFonts w:hint="eastAsia" w:ascii="仿宋_GB2312" w:hAnsi="仿宋_GB2312" w:eastAsia="仿宋_GB2312" w:cs="仿宋_GB2312"/>
          <w:color w:val="auto"/>
          <w:kern w:val="0"/>
          <w:sz w:val="28"/>
          <w:szCs w:val="28"/>
          <w:highlight w:val="none"/>
          <w:lang w:val="en-US" w:eastAsia="zh-CN"/>
        </w:rPr>
        <w:t>0000.00</w:t>
      </w:r>
    </w:p>
    <w:p w14:paraId="2B5838D9">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项目报价类型：总价</w:t>
      </w:r>
    </w:p>
    <w:p w14:paraId="7289973C">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shd w:val="clear" w:color="auto" w:fill="FFFF00"/>
        </w:rPr>
        <w:t>资金来源</w:t>
      </w:r>
      <w:r>
        <w:rPr>
          <w:rFonts w:hint="eastAsia" w:ascii="仿宋_GB2312" w:hAnsi="仿宋_GB2312" w:eastAsia="仿宋_GB2312" w:cs="仿宋_GB2312"/>
          <w:color w:val="auto"/>
          <w:kern w:val="0"/>
          <w:sz w:val="28"/>
          <w:szCs w:val="28"/>
          <w:highlight w:val="none"/>
        </w:rPr>
        <w:t>：财政资金</w:t>
      </w:r>
    </w:p>
    <w:p w14:paraId="237BDC69">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shd w:val="clear" w:color="auto" w:fill="FFFF00"/>
        </w:rPr>
        <w:t>资金项目名称</w:t>
      </w:r>
      <w:r>
        <w:rPr>
          <w:rFonts w:hint="eastAsia" w:ascii="仿宋_GB2312" w:hAnsi="仿宋_GB2312" w:eastAsia="仿宋_GB2312" w:cs="仿宋_GB2312"/>
          <w:color w:val="auto"/>
          <w:kern w:val="0"/>
          <w:sz w:val="28"/>
          <w:szCs w:val="28"/>
          <w:highlight w:val="none"/>
        </w:rPr>
        <w:t>：区级三名工程经费</w:t>
      </w:r>
    </w:p>
    <w:p w14:paraId="1F9A58AA">
      <w:pPr>
        <w:pStyle w:val="18"/>
        <w:widowControl/>
        <w:numPr>
          <w:ilvl w:val="0"/>
          <w:numId w:val="2"/>
        </w:numPr>
        <w:spacing w:line="360" w:lineRule="auto"/>
        <w:jc w:val="left"/>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采购类别：货物</w:t>
      </w:r>
    </w:p>
    <w:p w14:paraId="7F48374A">
      <w:pPr>
        <w:pStyle w:val="18"/>
        <w:widowControl/>
        <w:numPr>
          <w:ilvl w:val="0"/>
          <w:numId w:val="1"/>
        </w:numPr>
        <w:spacing w:line="360" w:lineRule="auto"/>
        <w:jc w:val="left"/>
        <w:rPr>
          <w:rFonts w:ascii="仿宋_GB2312" w:hAnsi="仿宋_GB2312" w:eastAsia="仿宋_GB2312" w:cs="仿宋_GB2312"/>
          <w:sz w:val="28"/>
          <w:szCs w:val="28"/>
          <w:u w:val="single"/>
        </w:rPr>
      </w:pPr>
      <w:r>
        <w:rPr>
          <w:rFonts w:hint="eastAsia" w:ascii="仿宋_GB2312" w:hAnsi="仿宋_GB2312" w:eastAsia="仿宋_GB2312" w:cs="仿宋_GB2312"/>
          <w:b/>
          <w:color w:val="000000"/>
          <w:kern w:val="0"/>
          <w:sz w:val="28"/>
          <w:szCs w:val="28"/>
        </w:rPr>
        <w:t>项目采购需求：</w:t>
      </w:r>
    </w:p>
    <w:p w14:paraId="107E014E">
      <w:pPr>
        <w:numPr>
          <w:ilvl w:val="0"/>
          <w:numId w:val="3"/>
        </w:num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highlight w:val="yellow"/>
          <w:shd w:val="clear" w:color="auto" w:fill="FFFF00"/>
        </w:rPr>
        <w:t>采购项目需实现的功能和目标</w:t>
      </w:r>
      <w:r>
        <w:rPr>
          <w:rFonts w:hint="eastAsia" w:ascii="仿宋_GB2312" w:hAnsi="仿宋_GB2312" w:eastAsia="仿宋_GB2312" w:cs="仿宋_GB2312"/>
          <w:sz w:val="28"/>
          <w:szCs w:val="28"/>
        </w:rPr>
        <w:t>：</w:t>
      </w:r>
    </w:p>
    <w:p w14:paraId="4D04C4B5">
      <w:pPr>
        <w:spacing w:line="360" w:lineRule="auto"/>
        <w:ind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妇科宫腔检查、治疗和组织活检，亦适用于无性生活或绝经后女性。</w:t>
      </w:r>
    </w:p>
    <w:p w14:paraId="4AFB3682">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（二）项目属性：</w:t>
      </w:r>
    </w:p>
    <w:p w14:paraId="22670281">
      <w:pPr>
        <w:numPr>
          <w:ilvl w:val="0"/>
          <w:numId w:val="4"/>
        </w:num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是否适宜由中小企业提供，并专门面向中小企业采购 </w:t>
      </w:r>
    </w:p>
    <w:p w14:paraId="64D7CA34">
      <w:pPr>
        <w:numPr>
          <w:ilvl w:val="0"/>
          <w:numId w:val="5"/>
        </w:num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□是         □是否仅面向小微企业</w:t>
      </w:r>
    </w:p>
    <w:p w14:paraId="457527B3">
      <w:pPr>
        <w:numPr>
          <w:ilvl w:val="0"/>
          <w:numId w:val="5"/>
        </w:numPr>
        <w:spacing w:line="360" w:lineRule="auto"/>
        <w:rPr>
          <w:rFonts w:ascii="仿宋" w:hAnsi="仿宋" w:eastAsia="仿宋"/>
          <w:sz w:val="28"/>
          <w:szCs w:val="28"/>
          <w:u w:val="single"/>
        </w:rPr>
      </w:pPr>
      <w:r>
        <w:rPr>
          <w:rFonts w:hint="eastAsia" w:ascii="仿宋_GB2312" w:hAnsi="仿宋_GB2312" w:eastAsia="仿宋_GB2312" w:cs="仿宋_GB2312"/>
          <w:sz w:val="28"/>
          <w:szCs w:val="28"/>
        </w:rPr>
        <w:t>☑否，原因说明</w:t>
      </w:r>
      <w:r>
        <w:rPr>
          <w:rFonts w:hint="eastAsia" w:ascii="仿宋_GB2312" w:hAnsi="仿宋_GB2312" w:eastAsia="仿宋_GB2312" w:cs="仿宋_GB2312"/>
          <w:sz w:val="28"/>
          <w:szCs w:val="28"/>
          <w:u w:val="single"/>
        </w:rPr>
        <w:t xml:space="preserve"> </w:t>
      </w:r>
      <w:r>
        <w:rPr>
          <w:rFonts w:hint="eastAsia" w:ascii="仿宋" w:hAnsi="仿宋" w:eastAsia="仿宋"/>
          <w:sz w:val="28"/>
          <w:szCs w:val="28"/>
          <w:u w:val="single"/>
        </w:rPr>
        <w:t>按照办法规定预留采购份额无法确保充分供应、充分竞争，或者存在可能影响政府采购目标实现的情形。</w:t>
      </w:r>
    </w:p>
    <w:p w14:paraId="3A80CCB4">
      <w:pPr>
        <w:numPr>
          <w:ilvl w:val="0"/>
          <w:numId w:val="6"/>
        </w:numPr>
        <w:rPr>
          <w:rFonts w:ascii="仿宋_GB2312" w:hAnsi="仿宋_GB2312" w:eastAsia="仿宋_GB2312" w:cs="仿宋_GB2312"/>
          <w:sz w:val="28"/>
          <w:szCs w:val="28"/>
        </w:rPr>
      </w:pPr>
      <w:r>
        <w:rPr>
          <w:rFonts w:hint="eastAsia" w:ascii="仿宋_GB2312" w:hAnsi="仿宋_GB2312" w:eastAsia="仿宋_GB2312" w:cs="仿宋_GB2312"/>
          <w:b/>
          <w:bCs/>
          <w:sz w:val="28"/>
          <w:szCs w:val="28"/>
        </w:rPr>
        <w:t>是否接受联合体投标</w:t>
      </w:r>
      <w:r>
        <w:rPr>
          <w:rFonts w:hint="eastAsia" w:ascii="仿宋_GB2312" w:hAnsi="仿宋_GB2312" w:eastAsia="仿宋_GB2312" w:cs="仿宋_GB2312"/>
          <w:sz w:val="28"/>
          <w:szCs w:val="28"/>
        </w:rPr>
        <w:t>：  □是    ☑否</w:t>
      </w:r>
    </w:p>
    <w:p w14:paraId="7A39E496">
      <w:pPr>
        <w:spacing w:line="360" w:lineRule="auto"/>
        <w:rPr>
          <w:rFonts w:ascii="仿宋_GB2312" w:hAnsi="仿宋_GB2312" w:eastAsia="仿宋_GB2312" w:cs="仿宋_GB2312"/>
          <w:b/>
          <w:bCs/>
          <w:sz w:val="28"/>
          <w:szCs w:val="28"/>
        </w:rPr>
      </w:pPr>
      <w:r>
        <w:rPr>
          <w:rFonts w:hint="eastAsia" w:ascii="仿宋" w:hAnsi="仿宋" w:eastAsia="仿宋"/>
          <w:b/>
          <w:bCs/>
          <w:sz w:val="32"/>
          <w:szCs w:val="32"/>
        </w:rPr>
        <w:t>（</w:t>
      </w:r>
      <w:r>
        <w:rPr>
          <w:rFonts w:hint="eastAsia" w:ascii="仿宋_GB2312" w:hAnsi="仿宋_GB2312" w:eastAsia="仿宋_GB2312" w:cs="仿宋_GB2312"/>
          <w:b/>
          <w:bCs/>
          <w:sz w:val="28"/>
          <w:szCs w:val="28"/>
        </w:rPr>
        <w:t>四）</w:t>
      </w:r>
      <w:r>
        <w:rPr>
          <w:rFonts w:hint="eastAsia" w:ascii="仿宋_GB2312" w:hAnsi="仿宋_GB2312" w:eastAsia="仿宋_GB2312" w:cs="仿宋_GB2312"/>
          <w:b/>
          <w:bCs/>
          <w:sz w:val="28"/>
          <w:szCs w:val="28"/>
          <w:highlight w:val="yellow"/>
          <w:shd w:val="clear" w:color="auto" w:fill="FFFF00"/>
        </w:rPr>
        <w:t>采购标的汇总表</w:t>
      </w:r>
      <w:r>
        <w:rPr>
          <w:rFonts w:hint="eastAsia" w:ascii="仿宋_GB2312" w:hAnsi="仿宋_GB2312" w:eastAsia="仿宋_GB2312" w:cs="仿宋_GB2312"/>
          <w:b/>
          <w:bCs/>
          <w:sz w:val="28"/>
          <w:szCs w:val="28"/>
          <w:shd w:val="clear" w:color="auto" w:fill="FFFF00"/>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84"/>
        <w:gridCol w:w="866"/>
        <w:gridCol w:w="915"/>
        <w:gridCol w:w="1200"/>
        <w:gridCol w:w="2175"/>
      </w:tblGrid>
      <w:tr w14:paraId="2F52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2448" w:type="dxa"/>
            <w:shd w:val="clear" w:color="auto" w:fill="FFFFFF"/>
            <w:tcMar>
              <w:top w:w="0" w:type="dxa"/>
              <w:right w:w="0" w:type="dxa"/>
            </w:tcMar>
            <w:vAlign w:val="center"/>
          </w:tcPr>
          <w:p w14:paraId="1A034E79">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项目</w:t>
            </w:r>
            <w:r>
              <w:rPr>
                <w:rFonts w:hint="eastAsia" w:ascii="仿宋_GB2312" w:hAnsi="仿宋_GB2312" w:eastAsia="仿宋_GB2312" w:cs="仿宋_GB2312"/>
                <w:color w:val="000000"/>
                <w:kern w:val="0"/>
                <w:sz w:val="28"/>
                <w:szCs w:val="28"/>
              </w:rPr>
              <w:t>名称</w:t>
            </w:r>
          </w:p>
        </w:tc>
        <w:tc>
          <w:tcPr>
            <w:tcW w:w="2184" w:type="dxa"/>
            <w:shd w:val="clear" w:color="auto" w:fill="FFFFFF"/>
            <w:tcMar>
              <w:top w:w="0" w:type="dxa"/>
              <w:right w:w="0" w:type="dxa"/>
            </w:tcMar>
            <w:vAlign w:val="center"/>
          </w:tcPr>
          <w:p w14:paraId="0BE634BA">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品目 （政府采购品目分类目录）</w:t>
            </w:r>
          </w:p>
        </w:tc>
        <w:tc>
          <w:tcPr>
            <w:tcW w:w="866" w:type="dxa"/>
            <w:shd w:val="clear" w:color="auto" w:fill="FFFFFF"/>
            <w:tcMar>
              <w:top w:w="0" w:type="dxa"/>
              <w:right w:w="0" w:type="dxa"/>
            </w:tcMar>
            <w:vAlign w:val="center"/>
          </w:tcPr>
          <w:p w14:paraId="198182F6">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计量单位</w:t>
            </w:r>
          </w:p>
        </w:tc>
        <w:tc>
          <w:tcPr>
            <w:tcW w:w="915" w:type="dxa"/>
            <w:shd w:val="clear" w:color="auto" w:fill="FFFFFF"/>
            <w:vAlign w:val="center"/>
          </w:tcPr>
          <w:p w14:paraId="1889E479">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数量</w:t>
            </w:r>
          </w:p>
        </w:tc>
        <w:tc>
          <w:tcPr>
            <w:tcW w:w="1200" w:type="dxa"/>
            <w:shd w:val="clear" w:color="auto" w:fill="FFFFFF"/>
            <w:vAlign w:val="center"/>
          </w:tcPr>
          <w:p w14:paraId="7D0EA5E8">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总预算（元）</w:t>
            </w:r>
          </w:p>
        </w:tc>
        <w:tc>
          <w:tcPr>
            <w:tcW w:w="2175" w:type="dxa"/>
            <w:shd w:val="clear" w:color="auto" w:fill="FFFFFF"/>
            <w:tcMar>
              <w:top w:w="0" w:type="dxa"/>
              <w:right w:w="0" w:type="dxa"/>
            </w:tcMar>
            <w:vAlign w:val="center"/>
          </w:tcPr>
          <w:p w14:paraId="35FFBF13">
            <w:pPr>
              <w:autoSpaceDE w:val="0"/>
              <w:autoSpaceDN w:val="0"/>
              <w:adjustRightIn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是否进口      （货物类提供）</w:t>
            </w:r>
          </w:p>
        </w:tc>
      </w:tr>
      <w:tr w14:paraId="413B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448" w:type="dxa"/>
            <w:shd w:val="clear" w:color="auto" w:fill="FFFFFF"/>
            <w:tcMar>
              <w:top w:w="0" w:type="dxa"/>
              <w:right w:w="0" w:type="dxa"/>
            </w:tcMar>
            <w:vAlign w:val="center"/>
          </w:tcPr>
          <w:p w14:paraId="7B52691B">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宫腔镜（一</w:t>
            </w:r>
            <w:bookmarkStart w:id="0" w:name="_GoBack"/>
            <w:bookmarkEnd w:id="0"/>
            <w:r>
              <w:rPr>
                <w:rFonts w:hint="eastAsia" w:ascii="仿宋_GB2312" w:hAnsi="仿宋_GB2312" w:eastAsia="仿宋_GB2312" w:cs="仿宋_GB2312"/>
                <w:kern w:val="0"/>
                <w:sz w:val="28"/>
                <w:szCs w:val="28"/>
              </w:rPr>
              <w:t>体镜）</w:t>
            </w:r>
          </w:p>
        </w:tc>
        <w:tc>
          <w:tcPr>
            <w:tcW w:w="2184" w:type="dxa"/>
            <w:shd w:val="clear" w:color="auto" w:fill="FFFFFF"/>
            <w:tcMar>
              <w:top w:w="0" w:type="dxa"/>
              <w:right w:w="0" w:type="dxa"/>
            </w:tcMar>
            <w:vAlign w:val="center"/>
          </w:tcPr>
          <w:p w14:paraId="23972ADE">
            <w:pPr>
              <w:autoSpaceDE w:val="0"/>
              <w:autoSpaceDN w:val="0"/>
              <w:adjustRightInd w:val="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A02320700、医用内窥镜 </w:t>
            </w:r>
          </w:p>
        </w:tc>
        <w:tc>
          <w:tcPr>
            <w:tcW w:w="866" w:type="dxa"/>
            <w:shd w:val="clear" w:color="auto" w:fill="FFFFFF"/>
            <w:tcMar>
              <w:top w:w="0" w:type="dxa"/>
              <w:right w:w="0" w:type="dxa"/>
            </w:tcMar>
            <w:vAlign w:val="center"/>
          </w:tcPr>
          <w:p w14:paraId="79545C70">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套</w:t>
            </w:r>
          </w:p>
        </w:tc>
        <w:tc>
          <w:tcPr>
            <w:tcW w:w="915" w:type="dxa"/>
            <w:shd w:val="clear" w:color="auto" w:fill="FFFFFF"/>
            <w:vAlign w:val="center"/>
          </w:tcPr>
          <w:p w14:paraId="346B3411">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1200" w:type="dxa"/>
            <w:shd w:val="clear" w:color="auto" w:fill="FFFFFF"/>
            <w:vAlign w:val="center"/>
          </w:tcPr>
          <w:p w14:paraId="0FB941ED">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100000</w:t>
            </w:r>
          </w:p>
        </w:tc>
        <w:tc>
          <w:tcPr>
            <w:tcW w:w="2175" w:type="dxa"/>
            <w:shd w:val="clear" w:color="auto" w:fill="FFFFFF"/>
            <w:tcMar>
              <w:top w:w="0" w:type="dxa"/>
              <w:right w:w="0" w:type="dxa"/>
            </w:tcMar>
            <w:vAlign w:val="center"/>
          </w:tcPr>
          <w:p w14:paraId="5122DB17">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否</w:t>
            </w:r>
          </w:p>
        </w:tc>
      </w:tr>
    </w:tbl>
    <w:p w14:paraId="33B8F7C8">
      <w:pPr>
        <w:rPr>
          <w:b/>
          <w:bCs/>
        </w:rPr>
      </w:pPr>
      <w:r>
        <w:rPr>
          <w:rFonts w:hint="eastAsia" w:ascii="仿宋_GB2312" w:hAnsi="仿宋_GB2312" w:eastAsia="仿宋_GB2312" w:cs="仿宋_GB2312"/>
          <w:b/>
          <w:bCs/>
          <w:sz w:val="28"/>
          <w:szCs w:val="28"/>
        </w:rPr>
        <w:t>（五）按照规定及项目情况设置投标供应商资格要求：</w:t>
      </w:r>
    </w:p>
    <w:p w14:paraId="5A067C1C">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1、供应商必须具有独立法人资格，具备《营业执照》《税务登记证》《组织机构代码证》或“三证合一”的《营业执照》，并具有相关经营范围（提供相关证明扫描件，原件备查）；</w:t>
      </w:r>
    </w:p>
    <w:p w14:paraId="45D430D0">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2、供应商若为生产企业：所投产品为第二、三类医疗器械的，提供食品药品监督管理部门颁发的涵盖所投医疗器械的《医疗器械生产许可证》（有效期内）扫描件，原件备查；</w:t>
      </w:r>
    </w:p>
    <w:p w14:paraId="786171F4">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供应商若为经营企业，所投产品为第二类医疗器械的，提供食品药品监督管理部门颁发的涵盖所投医疗器械的《医疗器械经营备案凭证》（有效期内）扫描件，原件备查；所投产品为第三类医疗器械的，提供食品药品监督管理部门颁发的涵盖所投医疗器械的《医疗器械经营许可证》（有效期内）扫描件，原件备查；</w:t>
      </w:r>
    </w:p>
    <w:p w14:paraId="4D5D880A">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供应商提供的设备为第一类医疗器械的，应当提供医疗行业主管部门签发的有效的《医疗器械备案凭证》；供应商提供的设备为第二、三类医疗器械的，应当提供医疗行业主管部门签发的涵盖供应商提供设备的《医疗器械注册证》。供应商应确保货物与注册证或备案凭证所附之产品技术要求相符。如所供产品不属于第一、二、三类医疗器械的，可以不提供《医疗器械备案凭证》或《医疗器械注册证》，但需提供供应商关于所供产品不属于医疗器械的相关说明（加盖供应商公章）。</w:t>
      </w:r>
    </w:p>
    <w:p w14:paraId="1838BEC7">
      <w:pP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（六）技术、服务要求与商务要求：</w:t>
      </w:r>
    </w:p>
    <w:p w14:paraId="53FB9549">
      <w:pPr>
        <w:numPr>
          <w:ilvl w:val="0"/>
          <w:numId w:val="7"/>
        </w:numPr>
        <w:jc w:val="left"/>
        <w:rPr>
          <w:rFonts w:ascii="仿宋_GB2312" w:hAnsi="仿宋_GB2312" w:eastAsia="仿宋_GB2312" w:cs="仿宋_GB2312"/>
          <w:sz w:val="28"/>
          <w:szCs w:val="28"/>
        </w:rPr>
      </w:pPr>
      <w:r>
        <w:rPr>
          <w:rFonts w:hint="eastAsia" w:ascii="仿宋_GB2312" w:hAnsi="仿宋_GB2312" w:eastAsia="仿宋_GB2312" w:cs="仿宋_GB2312"/>
          <w:sz w:val="28"/>
          <w:szCs w:val="28"/>
          <w:highlight w:val="yellow"/>
          <w:shd w:val="clear" w:color="auto" w:fill="FFFF00"/>
        </w:rPr>
        <w:t>技术要求：</w:t>
      </w:r>
    </w:p>
    <w:tbl>
      <w:tblPr>
        <w:tblStyle w:val="7"/>
        <w:tblW w:w="8851" w:type="dxa"/>
        <w:tblInd w:w="0" w:type="dxa"/>
        <w:tblLayout w:type="fixed"/>
        <w:tblCellMar>
          <w:top w:w="0" w:type="dxa"/>
          <w:left w:w="10" w:type="dxa"/>
          <w:bottom w:w="0" w:type="dxa"/>
          <w:right w:w="10" w:type="dxa"/>
        </w:tblCellMar>
      </w:tblPr>
      <w:tblGrid>
        <w:gridCol w:w="879"/>
        <w:gridCol w:w="1192"/>
        <w:gridCol w:w="6780"/>
      </w:tblGrid>
      <w:tr w14:paraId="02D88565">
        <w:tblPrEx>
          <w:tblCellMar>
            <w:top w:w="0" w:type="dxa"/>
            <w:left w:w="10" w:type="dxa"/>
            <w:bottom w:w="0" w:type="dxa"/>
            <w:right w:w="10" w:type="dxa"/>
          </w:tblCellMar>
        </w:tblPrEx>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9AE5D0">
            <w:pPr>
              <w:jc w:val="center"/>
            </w:pPr>
            <w:r>
              <w:rPr>
                <w:rFonts w:ascii="宋体" w:hAnsi="宋体" w:eastAsia="宋体" w:cs="宋体"/>
                <w:sz w:val="28"/>
              </w:rPr>
              <w:t>序号</w:t>
            </w:r>
          </w:p>
        </w:tc>
        <w:tc>
          <w:tcPr>
            <w:tcW w:w="11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6F43AA">
            <w:pPr>
              <w:jc w:val="center"/>
              <w:rPr>
                <w:rFonts w:ascii="宋体" w:hAnsi="宋体" w:eastAsia="宋体" w:cs="宋体"/>
                <w:sz w:val="28"/>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83A834">
            <w:pPr>
              <w:jc w:val="center"/>
              <w:rPr>
                <w:rFonts w:ascii="宋体" w:hAnsi="宋体" w:eastAsia="宋体" w:cs="宋体"/>
              </w:rPr>
            </w:pPr>
            <w:r>
              <w:rPr>
                <w:rFonts w:ascii="宋体" w:hAnsi="宋体" w:eastAsia="宋体" w:cs="宋体"/>
                <w:sz w:val="28"/>
              </w:rPr>
              <w:t>参数</w:t>
            </w:r>
          </w:p>
        </w:tc>
      </w:tr>
      <w:tr w14:paraId="09315BF2">
        <w:tblPrEx>
          <w:tblCellMar>
            <w:top w:w="0" w:type="dxa"/>
            <w:left w:w="10" w:type="dxa"/>
            <w:bottom w:w="0" w:type="dxa"/>
            <w:right w:w="10" w:type="dxa"/>
          </w:tblCellMar>
        </w:tblPrEx>
        <w:trPr>
          <w:trHeight w:val="719"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823780">
            <w:pPr>
              <w:jc w:val="center"/>
            </w:pPr>
            <w:r>
              <w:rPr>
                <w:rFonts w:ascii="宋体" w:hAnsi="宋体" w:eastAsia="宋体" w:cs="宋体"/>
                <w:sz w:val="28"/>
              </w:rPr>
              <w:t>1</w:t>
            </w:r>
          </w:p>
        </w:tc>
        <w:tc>
          <w:tcPr>
            <w:tcW w:w="11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8121A">
            <w:pPr>
              <w:jc w:val="center"/>
              <w:rPr>
                <w:rFonts w:hint="eastAsia" w:ascii="宋体" w:hAnsi="宋体" w:eastAsia="宋体" w:cs="宋体"/>
                <w:sz w:val="24"/>
                <w:szCs w:val="24"/>
              </w:rPr>
            </w:pPr>
            <w:r>
              <w:rPr>
                <w:rFonts w:hint="eastAsia" w:ascii="宋体" w:hAnsi="宋体" w:eastAsia="宋体" w:cs="宋体"/>
              </w:rPr>
              <w:t>一、总体要求</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FB4FCF">
            <w:pPr>
              <w:spacing w:line="360" w:lineRule="auto"/>
              <w:rPr>
                <w:rFonts w:hint="eastAsia" w:ascii="宋体" w:hAnsi="宋体" w:eastAsia="宋体" w:cs="宋体"/>
              </w:rPr>
            </w:pPr>
            <w:r>
              <w:rPr>
                <w:rFonts w:hint="eastAsia" w:ascii="宋体" w:hAnsi="宋体" w:eastAsia="宋体" w:cs="宋体"/>
                <w:sz w:val="24"/>
                <w:szCs w:val="24"/>
              </w:rPr>
              <w:t>适用范围：产品供临床检查子宫腔内疾病和治疗</w:t>
            </w:r>
            <w:r>
              <w:rPr>
                <w:rFonts w:hint="eastAsia" w:ascii="宋体" w:hAnsi="宋体" w:eastAsia="宋体" w:cs="宋体"/>
                <w:sz w:val="24"/>
                <w:szCs w:val="24"/>
                <w:lang w:eastAsia="zh-CN"/>
              </w:rPr>
              <w:t>使用</w:t>
            </w:r>
            <w:r>
              <w:rPr>
                <w:rFonts w:hint="eastAsia" w:ascii="宋体" w:hAnsi="宋体" w:eastAsia="宋体" w:cs="宋体"/>
                <w:sz w:val="24"/>
                <w:szCs w:val="24"/>
              </w:rPr>
              <w:t>。</w:t>
            </w:r>
          </w:p>
        </w:tc>
      </w:tr>
      <w:tr w14:paraId="182F2673">
        <w:tblPrEx>
          <w:tblCellMar>
            <w:top w:w="0" w:type="dxa"/>
            <w:left w:w="10" w:type="dxa"/>
            <w:bottom w:w="0" w:type="dxa"/>
            <w:right w:w="10" w:type="dxa"/>
          </w:tblCellMar>
        </w:tblPrEx>
        <w:trPr>
          <w:trHeight w:val="864"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A0F8AE">
            <w:pPr>
              <w:jc w:val="center"/>
            </w:pPr>
            <w:r>
              <w:rPr>
                <w:rFonts w:ascii="宋体" w:hAnsi="宋体" w:eastAsia="宋体" w:cs="宋体"/>
                <w:sz w:val="28"/>
              </w:rPr>
              <w:t>2</w:t>
            </w:r>
          </w:p>
        </w:tc>
        <w:tc>
          <w:tcPr>
            <w:tcW w:w="1192" w:type="dxa"/>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B70F3AB">
            <w:pPr>
              <w:jc w:val="center"/>
              <w:rPr>
                <w:rFonts w:hint="eastAsia" w:ascii="宋体" w:hAnsi="宋体" w:eastAsia="宋体" w:cs="宋体"/>
                <w:sz w:val="24"/>
                <w:szCs w:val="24"/>
              </w:rPr>
            </w:pPr>
            <w:r>
              <w:rPr>
                <w:rFonts w:hint="eastAsia" w:ascii="宋体" w:hAnsi="宋体" w:eastAsia="宋体" w:cs="宋体"/>
                <w:sz w:val="24"/>
                <w:szCs w:val="24"/>
              </w:rPr>
              <w:t>二、镜体基本信息</w:t>
            </w: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40B366">
            <w:pPr>
              <w:jc w:val="left"/>
              <w:rPr>
                <w:rFonts w:hint="eastAsia" w:ascii="宋体" w:hAnsi="宋体" w:eastAsia="宋体" w:cs="宋体"/>
                <w:sz w:val="24"/>
                <w:szCs w:val="24"/>
              </w:rPr>
            </w:pPr>
            <w:r>
              <w:rPr>
                <w:rFonts w:hint="eastAsia" w:ascii="宋体" w:hAnsi="宋体" w:eastAsia="宋体" w:cs="宋体"/>
                <w:sz w:val="24"/>
                <w:szCs w:val="24"/>
              </w:rPr>
              <w:t>1.▲主体镜工作长度： 198mm~212mm、视向角30°±5°、视场角85°±15%</w:t>
            </w:r>
          </w:p>
        </w:tc>
      </w:tr>
      <w:tr w14:paraId="4EE9F2AE">
        <w:tblPrEx>
          <w:tblCellMar>
            <w:top w:w="0" w:type="dxa"/>
            <w:left w:w="10" w:type="dxa"/>
            <w:bottom w:w="0" w:type="dxa"/>
            <w:right w:w="10" w:type="dxa"/>
          </w:tblCellMar>
        </w:tblPrEx>
        <w:trPr>
          <w:trHeight w:val="1"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E2CDCF">
            <w:pPr>
              <w:jc w:val="center"/>
            </w:pPr>
            <w:r>
              <w:rPr>
                <w:rFonts w:ascii="宋体" w:hAnsi="宋体" w:eastAsia="宋体" w:cs="宋体"/>
                <w:sz w:val="28"/>
              </w:rPr>
              <w:t>3</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0EFE7BB5">
            <w:pPr>
              <w:jc w:val="left"/>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DC8BBF">
            <w:pPr>
              <w:jc w:val="left"/>
              <w:rPr>
                <w:rFonts w:hint="eastAsia" w:ascii="宋体" w:hAnsi="宋体" w:eastAsia="宋体" w:cs="宋体"/>
                <w:sz w:val="24"/>
                <w:szCs w:val="24"/>
              </w:rPr>
            </w:pPr>
            <w:r>
              <w:rPr>
                <w:rFonts w:hint="eastAsia" w:ascii="宋体" w:hAnsi="宋体" w:eastAsia="宋体" w:cs="宋体"/>
                <w:sz w:val="24"/>
                <w:szCs w:val="24"/>
              </w:rPr>
              <w:t>2.内窥镜分辨率≥9.30lp/mm，内窥镜照度＞1500lx。</w:t>
            </w:r>
          </w:p>
        </w:tc>
      </w:tr>
      <w:tr w14:paraId="59F91887">
        <w:tblPrEx>
          <w:tblCellMar>
            <w:top w:w="0" w:type="dxa"/>
            <w:left w:w="10" w:type="dxa"/>
            <w:bottom w:w="0" w:type="dxa"/>
            <w:right w:w="10" w:type="dxa"/>
          </w:tblCellMar>
        </w:tblPrEx>
        <w:trPr>
          <w:trHeight w:val="1"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0FE451">
            <w:pPr>
              <w:jc w:val="center"/>
            </w:pPr>
            <w:r>
              <w:rPr>
                <w:rFonts w:ascii="宋体" w:hAnsi="宋体" w:eastAsia="宋体" w:cs="宋体"/>
                <w:sz w:val="28"/>
              </w:rPr>
              <w:t>4</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7CB6A880">
            <w:pPr>
              <w:jc w:val="left"/>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6B35BC">
            <w:pPr>
              <w:jc w:val="left"/>
              <w:rPr>
                <w:rFonts w:hint="eastAsia" w:ascii="宋体" w:hAnsi="宋体" w:eastAsia="宋体" w:cs="宋体"/>
                <w:sz w:val="24"/>
                <w:szCs w:val="24"/>
              </w:rPr>
            </w:pPr>
            <w:r>
              <w:rPr>
                <w:rFonts w:hint="eastAsia" w:ascii="宋体" w:hAnsi="宋体" w:eastAsia="宋体" w:cs="宋体"/>
                <w:sz w:val="24"/>
                <w:szCs w:val="24"/>
              </w:rPr>
              <w:t>3.内窥镜镜体采用医用不锈钢材质，带有方向标。</w:t>
            </w:r>
          </w:p>
        </w:tc>
      </w:tr>
      <w:tr w14:paraId="038B2FC3">
        <w:tblPrEx>
          <w:tblCellMar>
            <w:top w:w="0" w:type="dxa"/>
            <w:left w:w="10" w:type="dxa"/>
            <w:bottom w:w="0" w:type="dxa"/>
            <w:right w:w="10" w:type="dxa"/>
          </w:tblCellMar>
        </w:tblPrEx>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2EEBD4">
            <w:pPr>
              <w:jc w:val="center"/>
            </w:pPr>
            <w:r>
              <w:rPr>
                <w:rFonts w:ascii="宋体" w:hAnsi="宋体" w:eastAsia="宋体" w:cs="宋体"/>
                <w:sz w:val="28"/>
              </w:rPr>
              <w:t>5</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5719F65C">
            <w:pPr>
              <w:spacing w:line="360" w:lineRule="auto"/>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0D192A">
            <w:pPr>
              <w:spacing w:line="360" w:lineRule="auto"/>
              <w:rPr>
                <w:rFonts w:hint="eastAsia" w:ascii="宋体" w:hAnsi="宋体" w:eastAsia="宋体" w:cs="宋体"/>
                <w:sz w:val="24"/>
                <w:szCs w:val="24"/>
              </w:rPr>
            </w:pPr>
            <w:r>
              <w:rPr>
                <w:rFonts w:hint="eastAsia" w:ascii="宋体" w:hAnsi="宋体" w:eastAsia="宋体" w:cs="宋体"/>
                <w:sz w:val="24"/>
                <w:szCs w:val="24"/>
              </w:rPr>
              <w:t>4.内窥镜采用蓝宝石光学玻璃、光纤、光锥；新型光学系统，柱状晶体排列技术。</w:t>
            </w:r>
          </w:p>
        </w:tc>
      </w:tr>
      <w:tr w14:paraId="1E4AB330">
        <w:tblPrEx>
          <w:tblCellMar>
            <w:top w:w="0" w:type="dxa"/>
            <w:left w:w="10" w:type="dxa"/>
            <w:bottom w:w="0" w:type="dxa"/>
            <w:right w:w="10" w:type="dxa"/>
          </w:tblCellMar>
        </w:tblPrEx>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B3F49B">
            <w:pPr>
              <w:jc w:val="center"/>
            </w:pPr>
            <w:r>
              <w:rPr>
                <w:rFonts w:ascii="宋体" w:hAnsi="宋体" w:eastAsia="宋体" w:cs="宋体"/>
                <w:sz w:val="28"/>
              </w:rPr>
              <w:t>7</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4BBB8A97">
            <w:pPr>
              <w:spacing w:line="360" w:lineRule="auto"/>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C0AA1B">
            <w:pPr>
              <w:spacing w:line="360" w:lineRule="auto"/>
              <w:rPr>
                <w:rFonts w:hint="eastAsia" w:ascii="宋体" w:hAnsi="宋体" w:eastAsia="宋体" w:cs="宋体"/>
                <w:sz w:val="24"/>
                <w:szCs w:val="24"/>
              </w:rPr>
            </w:pPr>
            <w:r>
              <w:rPr>
                <w:rFonts w:hint="eastAsia" w:ascii="宋体" w:hAnsi="宋体" w:eastAsia="宋体" w:cs="宋体"/>
                <w:sz w:val="24"/>
                <w:szCs w:val="24"/>
              </w:rPr>
              <w:t>5.内窥镜与鞘套一体化设计。</w:t>
            </w:r>
          </w:p>
        </w:tc>
      </w:tr>
      <w:tr w14:paraId="3C88D640">
        <w:tblPrEx>
          <w:tblCellMar>
            <w:top w:w="0" w:type="dxa"/>
            <w:left w:w="10" w:type="dxa"/>
            <w:bottom w:w="0" w:type="dxa"/>
            <w:right w:w="10" w:type="dxa"/>
          </w:tblCellMar>
        </w:tblPrEx>
        <w:trPr>
          <w:trHeight w:val="1"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C90923">
            <w:pPr>
              <w:jc w:val="center"/>
            </w:pPr>
            <w:r>
              <w:rPr>
                <w:rFonts w:ascii="宋体" w:hAnsi="宋体" w:eastAsia="宋体" w:cs="宋体"/>
                <w:sz w:val="28"/>
              </w:rPr>
              <w:t>8</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65704F3E">
            <w:pPr>
              <w:spacing w:line="360" w:lineRule="auto"/>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9CDAF6">
            <w:pPr>
              <w:spacing w:line="360" w:lineRule="auto"/>
              <w:rPr>
                <w:rFonts w:hint="eastAsia" w:ascii="宋体" w:hAnsi="宋体" w:eastAsia="宋体" w:cs="宋体"/>
                <w:sz w:val="24"/>
                <w:szCs w:val="24"/>
              </w:rPr>
            </w:pPr>
            <w:r>
              <w:rPr>
                <w:rFonts w:hint="eastAsia" w:ascii="宋体" w:hAnsi="宋体" w:eastAsia="宋体" w:cs="宋体"/>
                <w:sz w:val="24"/>
                <w:szCs w:val="24"/>
              </w:rPr>
              <w:t>6.▲进出水通道可360°旋转。</w:t>
            </w:r>
          </w:p>
        </w:tc>
      </w:tr>
      <w:tr w14:paraId="4E1A2DB0">
        <w:tblPrEx>
          <w:tblCellMar>
            <w:top w:w="0" w:type="dxa"/>
            <w:left w:w="10" w:type="dxa"/>
            <w:bottom w:w="0" w:type="dxa"/>
            <w:right w:w="10" w:type="dxa"/>
          </w:tblCellMar>
        </w:tblPrEx>
        <w:trPr>
          <w:trHeight w:val="1"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028A5">
            <w:pPr>
              <w:jc w:val="center"/>
            </w:pPr>
            <w:r>
              <w:rPr>
                <w:rFonts w:ascii="宋体" w:hAnsi="宋体" w:eastAsia="宋体" w:cs="宋体"/>
                <w:sz w:val="28"/>
              </w:rPr>
              <w:t>9</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7D742225">
            <w:pPr>
              <w:spacing w:line="360" w:lineRule="auto"/>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EEE55">
            <w:pPr>
              <w:spacing w:line="360" w:lineRule="auto"/>
              <w:rPr>
                <w:rFonts w:hint="eastAsia" w:ascii="宋体" w:hAnsi="宋体" w:eastAsia="宋体" w:cs="宋体"/>
                <w:sz w:val="24"/>
                <w:szCs w:val="24"/>
              </w:rPr>
            </w:pPr>
            <w:r>
              <w:rPr>
                <w:rFonts w:hint="eastAsia" w:ascii="宋体" w:hAnsi="宋体" w:eastAsia="宋体" w:cs="宋体"/>
                <w:sz w:val="24"/>
                <w:szCs w:val="24"/>
              </w:rPr>
              <w:t>7.全自动磁片闭合操作通道。</w:t>
            </w:r>
          </w:p>
        </w:tc>
      </w:tr>
      <w:tr w14:paraId="7975337A">
        <w:tblPrEx>
          <w:tblCellMar>
            <w:top w:w="0" w:type="dxa"/>
            <w:left w:w="10" w:type="dxa"/>
            <w:bottom w:w="0" w:type="dxa"/>
            <w:right w:w="10" w:type="dxa"/>
          </w:tblCellMar>
        </w:tblPrEx>
        <w:trPr>
          <w:trHeight w:val="1" w:hRule="atLeast"/>
        </w:trPr>
        <w:tc>
          <w:tcPr>
            <w:tcW w:w="8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5787B0">
            <w:pPr>
              <w:jc w:val="center"/>
            </w:pPr>
            <w:r>
              <w:rPr>
                <w:rFonts w:ascii="宋体" w:hAnsi="宋体" w:eastAsia="宋体" w:cs="宋体"/>
                <w:sz w:val="28"/>
              </w:rPr>
              <w:t>10</w:t>
            </w:r>
          </w:p>
        </w:tc>
        <w:tc>
          <w:tcPr>
            <w:tcW w:w="1192" w:type="dxa"/>
            <w:vMerge w:val="continue"/>
            <w:tcBorders>
              <w:left w:val="single" w:color="000000" w:sz="4" w:space="0"/>
              <w:right w:val="single" w:color="000000" w:sz="4" w:space="0"/>
            </w:tcBorders>
            <w:shd w:val="clear" w:color="000000" w:fill="FFFFFF"/>
            <w:tcMar>
              <w:left w:w="108" w:type="dxa"/>
              <w:right w:w="108" w:type="dxa"/>
            </w:tcMar>
            <w:vAlign w:val="center"/>
          </w:tcPr>
          <w:p w14:paraId="01FD411C">
            <w:pPr>
              <w:jc w:val="left"/>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B77E4D">
            <w:pPr>
              <w:jc w:val="left"/>
              <w:rPr>
                <w:rFonts w:hint="eastAsia" w:ascii="宋体" w:hAnsi="宋体" w:eastAsia="宋体" w:cs="宋体"/>
                <w:sz w:val="24"/>
                <w:szCs w:val="24"/>
              </w:rPr>
            </w:pPr>
            <w:r>
              <w:rPr>
                <w:rFonts w:hint="eastAsia" w:ascii="宋体" w:hAnsi="宋体" w:eastAsia="宋体" w:cs="宋体"/>
                <w:sz w:val="24"/>
                <w:szCs w:val="24"/>
              </w:rPr>
              <w:t>8.▲镜体头端无创设计，最大插入部外径≤5.2mm</w:t>
            </w:r>
          </w:p>
        </w:tc>
      </w:tr>
      <w:tr w14:paraId="4BF19074">
        <w:tblPrEx>
          <w:tblCellMar>
            <w:top w:w="0" w:type="dxa"/>
            <w:left w:w="10" w:type="dxa"/>
            <w:bottom w:w="0" w:type="dxa"/>
            <w:right w:w="10" w:type="dxa"/>
          </w:tblCellMar>
        </w:tblPrEx>
        <w:tc>
          <w:tcPr>
            <w:tcW w:w="879"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14:paraId="2044C8A2">
            <w:pPr>
              <w:jc w:val="center"/>
            </w:pPr>
            <w:r>
              <w:rPr>
                <w:rFonts w:ascii="宋体" w:hAnsi="宋体" w:eastAsia="宋体" w:cs="宋体"/>
                <w:sz w:val="28"/>
              </w:rPr>
              <w:t>11</w:t>
            </w:r>
          </w:p>
        </w:tc>
        <w:tc>
          <w:tcPr>
            <w:tcW w:w="1192" w:type="dxa"/>
            <w:vMerge w:val="continue"/>
            <w:tcBorders>
              <w:left w:val="single" w:color="000000" w:sz="4" w:space="0"/>
              <w:bottom w:val="single" w:color="auto" w:sz="4" w:space="0"/>
              <w:right w:val="single" w:color="000000" w:sz="4" w:space="0"/>
            </w:tcBorders>
            <w:shd w:val="clear" w:color="000000" w:fill="FFFFFF"/>
            <w:tcMar>
              <w:left w:w="108" w:type="dxa"/>
              <w:right w:w="108" w:type="dxa"/>
            </w:tcMar>
            <w:vAlign w:val="center"/>
          </w:tcPr>
          <w:p w14:paraId="09D1A554">
            <w:pPr>
              <w:spacing w:line="360" w:lineRule="auto"/>
              <w:rPr>
                <w:rFonts w:hint="eastAsia" w:ascii="宋体" w:hAnsi="宋体" w:eastAsia="宋体" w:cs="宋体"/>
                <w:sz w:val="24"/>
                <w:szCs w:val="24"/>
              </w:rPr>
            </w:pPr>
          </w:p>
        </w:tc>
        <w:tc>
          <w:tcPr>
            <w:tcW w:w="67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C03D04">
            <w:pPr>
              <w:spacing w:line="360" w:lineRule="auto"/>
              <w:rPr>
                <w:rFonts w:hint="eastAsia" w:ascii="宋体" w:hAnsi="宋体" w:eastAsia="宋体" w:cs="宋体"/>
                <w:sz w:val="24"/>
                <w:szCs w:val="24"/>
              </w:rPr>
            </w:pPr>
            <w:r>
              <w:rPr>
                <w:rFonts w:hint="eastAsia" w:ascii="宋体" w:hAnsi="宋体" w:eastAsia="宋体" w:cs="宋体"/>
                <w:sz w:val="24"/>
                <w:szCs w:val="24"/>
              </w:rPr>
              <w:t>9.消毒灭菌：高温高压方式或过氧化氢低温等离子灭菌方式</w:t>
            </w:r>
          </w:p>
        </w:tc>
      </w:tr>
      <w:tr w14:paraId="761228A0">
        <w:tblPrEx>
          <w:tblCellMar>
            <w:top w:w="0" w:type="dxa"/>
            <w:left w:w="10" w:type="dxa"/>
            <w:bottom w:w="0" w:type="dxa"/>
            <w:right w:w="10" w:type="dxa"/>
          </w:tblCellMar>
        </w:tblPrEx>
        <w:trPr>
          <w:trHeight w:val="879" w:hRule="atLeast"/>
        </w:trPr>
        <w:tc>
          <w:tcPr>
            <w:tcW w:w="879" w:type="dxa"/>
            <w:tcBorders>
              <w:top w:val="single" w:color="auto"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0D3F8F5B">
            <w:pPr>
              <w:jc w:val="center"/>
            </w:pPr>
            <w:r>
              <w:rPr>
                <w:rFonts w:ascii="宋体" w:hAnsi="宋体" w:eastAsia="宋体" w:cs="宋体"/>
                <w:sz w:val="28"/>
              </w:rPr>
              <w:t>12</w:t>
            </w:r>
          </w:p>
        </w:tc>
        <w:tc>
          <w:tcPr>
            <w:tcW w:w="1192" w:type="dxa"/>
            <w:vMerge w:val="restart"/>
            <w:tcBorders>
              <w:top w:val="single" w:color="auto" w:sz="4" w:space="0"/>
              <w:left w:val="single" w:color="000000" w:sz="4" w:space="0"/>
              <w:right w:val="single" w:color="auto" w:sz="4" w:space="0"/>
            </w:tcBorders>
            <w:shd w:val="clear" w:color="000000" w:fill="FFFFFF"/>
            <w:tcMar>
              <w:left w:w="108" w:type="dxa"/>
              <w:right w:w="108" w:type="dxa"/>
            </w:tcMar>
            <w:vAlign w:val="center"/>
          </w:tcPr>
          <w:p w14:paraId="5A6B4809">
            <w:pPr>
              <w:jc w:val="left"/>
              <w:rPr>
                <w:rFonts w:hint="eastAsia" w:ascii="宋体" w:hAnsi="宋体" w:eastAsia="宋体" w:cs="宋体"/>
                <w:sz w:val="24"/>
                <w:szCs w:val="24"/>
              </w:rPr>
            </w:pPr>
            <w:r>
              <w:rPr>
                <w:rFonts w:hint="eastAsia" w:ascii="宋体" w:hAnsi="宋体" w:eastAsia="宋体" w:cs="宋体"/>
                <w:sz w:val="24"/>
                <w:szCs w:val="24"/>
              </w:rPr>
              <w:t>三、器械部分</w:t>
            </w:r>
          </w:p>
        </w:tc>
        <w:tc>
          <w:tcPr>
            <w:tcW w:w="6780"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60B76107">
            <w:pPr>
              <w:jc w:val="left"/>
              <w:rPr>
                <w:rFonts w:hint="eastAsia" w:ascii="宋体" w:hAnsi="宋体" w:eastAsia="宋体" w:cs="宋体"/>
                <w:sz w:val="24"/>
                <w:szCs w:val="24"/>
              </w:rPr>
            </w:pPr>
            <w:r>
              <w:rPr>
                <w:rFonts w:hint="eastAsia" w:ascii="宋体" w:hAnsi="宋体" w:eastAsia="宋体" w:cs="宋体"/>
                <w:sz w:val="24"/>
                <w:szCs w:val="24"/>
              </w:rPr>
              <w:t>1、▲器械工作长度：340mm~400mm，器械直径:1.57mm~1.63mm</w:t>
            </w:r>
          </w:p>
        </w:tc>
      </w:tr>
      <w:tr w14:paraId="6E9A8388">
        <w:tblPrEx>
          <w:tblCellMar>
            <w:top w:w="0" w:type="dxa"/>
            <w:left w:w="10" w:type="dxa"/>
            <w:bottom w:w="0" w:type="dxa"/>
            <w:right w:w="10" w:type="dxa"/>
          </w:tblCellMar>
        </w:tblPrEx>
        <w:trPr>
          <w:trHeight w:val="1" w:hRule="atLeast"/>
        </w:trPr>
        <w:tc>
          <w:tcPr>
            <w:tcW w:w="879"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31AD6F39">
            <w:pPr>
              <w:jc w:val="center"/>
              <w:rPr>
                <w:rFonts w:ascii="宋体" w:hAnsi="宋体" w:eastAsia="宋体" w:cs="宋体"/>
                <w:sz w:val="28"/>
              </w:rPr>
            </w:pPr>
            <w:r>
              <w:rPr>
                <w:rFonts w:hint="eastAsia" w:ascii="宋体" w:hAnsi="宋体" w:eastAsia="宋体" w:cs="宋体"/>
                <w:sz w:val="28"/>
              </w:rPr>
              <w:t>13</w:t>
            </w:r>
          </w:p>
        </w:tc>
        <w:tc>
          <w:tcPr>
            <w:tcW w:w="1192" w:type="dxa"/>
            <w:vMerge w:val="continue"/>
            <w:tcBorders>
              <w:left w:val="single" w:color="000000" w:sz="4" w:space="0"/>
              <w:right w:val="single" w:color="auto" w:sz="4" w:space="0"/>
            </w:tcBorders>
            <w:shd w:val="clear" w:color="000000" w:fill="FFFFFF"/>
            <w:tcMar>
              <w:left w:w="108" w:type="dxa"/>
              <w:right w:w="108" w:type="dxa"/>
            </w:tcMar>
            <w:vAlign w:val="center"/>
          </w:tcPr>
          <w:p w14:paraId="6590A32A">
            <w:pPr>
              <w:jc w:val="left"/>
              <w:rPr>
                <w:rFonts w:hint="eastAsia" w:ascii="宋体" w:hAnsi="宋体" w:eastAsia="宋体" w:cs="宋体"/>
                <w:sz w:val="24"/>
                <w:szCs w:val="24"/>
              </w:rPr>
            </w:pPr>
          </w:p>
        </w:tc>
        <w:tc>
          <w:tcPr>
            <w:tcW w:w="6780"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78D06AB4">
            <w:pPr>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2"/>
              </w:rPr>
              <w:t>▲器械可360度旋转。</w:t>
            </w:r>
          </w:p>
        </w:tc>
      </w:tr>
      <w:tr w14:paraId="43594500">
        <w:tblPrEx>
          <w:tblCellMar>
            <w:top w:w="0" w:type="dxa"/>
            <w:left w:w="10" w:type="dxa"/>
            <w:bottom w:w="0" w:type="dxa"/>
            <w:right w:w="10" w:type="dxa"/>
          </w:tblCellMar>
        </w:tblPrEx>
        <w:trPr>
          <w:trHeight w:val="1" w:hRule="atLeast"/>
        </w:trPr>
        <w:tc>
          <w:tcPr>
            <w:tcW w:w="879" w:type="dxa"/>
            <w:tcBorders>
              <w:top w:val="single" w:color="000000" w:sz="4" w:space="0"/>
              <w:left w:val="single" w:color="auto" w:sz="4" w:space="0"/>
              <w:bottom w:val="single" w:color="auto" w:sz="4" w:space="0"/>
              <w:right w:val="single" w:color="000000" w:sz="4" w:space="0"/>
            </w:tcBorders>
            <w:shd w:val="clear" w:color="000000" w:fill="FFFFFF"/>
            <w:tcMar>
              <w:left w:w="108" w:type="dxa"/>
              <w:right w:w="108" w:type="dxa"/>
            </w:tcMar>
            <w:vAlign w:val="center"/>
          </w:tcPr>
          <w:p w14:paraId="38B4FA42">
            <w:pPr>
              <w:jc w:val="center"/>
              <w:rPr>
                <w:rFonts w:ascii="宋体" w:hAnsi="宋体" w:eastAsia="宋体" w:cs="宋体"/>
                <w:sz w:val="28"/>
              </w:rPr>
            </w:pPr>
            <w:r>
              <w:rPr>
                <w:rFonts w:hint="eastAsia" w:ascii="宋体" w:hAnsi="宋体" w:eastAsia="宋体" w:cs="宋体"/>
                <w:sz w:val="28"/>
              </w:rPr>
              <w:t>14</w:t>
            </w:r>
          </w:p>
        </w:tc>
        <w:tc>
          <w:tcPr>
            <w:tcW w:w="1192" w:type="dxa"/>
            <w:vMerge w:val="continue"/>
            <w:tcBorders>
              <w:left w:val="single" w:color="000000" w:sz="4" w:space="0"/>
              <w:bottom w:val="single" w:color="auto" w:sz="4" w:space="0"/>
              <w:right w:val="single" w:color="auto" w:sz="4" w:space="0"/>
            </w:tcBorders>
            <w:shd w:val="clear" w:color="000000" w:fill="FFFFFF"/>
            <w:tcMar>
              <w:left w:w="108" w:type="dxa"/>
              <w:right w:w="108" w:type="dxa"/>
            </w:tcMar>
            <w:vAlign w:val="center"/>
          </w:tcPr>
          <w:p w14:paraId="11F18794">
            <w:pPr>
              <w:jc w:val="left"/>
              <w:rPr>
                <w:rFonts w:hint="eastAsia" w:ascii="宋体" w:hAnsi="宋体" w:eastAsia="宋体" w:cs="宋体"/>
                <w:sz w:val="24"/>
                <w:szCs w:val="24"/>
              </w:rPr>
            </w:pPr>
          </w:p>
        </w:tc>
        <w:tc>
          <w:tcPr>
            <w:tcW w:w="6780"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79EAE4D2">
            <w:pPr>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2"/>
              </w:rPr>
              <w:t>器械可拆卸分为钳杆和手柄</w:t>
            </w:r>
          </w:p>
        </w:tc>
      </w:tr>
    </w:tbl>
    <w:p w14:paraId="18EE249C">
      <w:pPr>
        <w:shd w:val="clear" w:color="auto" w:fill="FFFF00"/>
        <w:jc w:val="left"/>
        <w:rPr>
          <w:rFonts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yellow"/>
        </w:rPr>
        <w:t>配置清单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4619"/>
        <w:gridCol w:w="1275"/>
        <w:gridCol w:w="1196"/>
      </w:tblGrid>
      <w:tr w14:paraId="0846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tcPr>
          <w:p w14:paraId="02FF3FAE">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4619" w:type="dxa"/>
          </w:tcPr>
          <w:p w14:paraId="153AA2DF">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项目名称</w:t>
            </w:r>
          </w:p>
        </w:tc>
        <w:tc>
          <w:tcPr>
            <w:tcW w:w="1275" w:type="dxa"/>
          </w:tcPr>
          <w:p w14:paraId="05870262">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数量</w:t>
            </w:r>
          </w:p>
        </w:tc>
        <w:tc>
          <w:tcPr>
            <w:tcW w:w="1196" w:type="dxa"/>
          </w:tcPr>
          <w:p w14:paraId="27732B04">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w:t>
            </w:r>
          </w:p>
        </w:tc>
      </w:tr>
      <w:tr w14:paraId="07E0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vAlign w:val="center"/>
          </w:tcPr>
          <w:p w14:paraId="00C3153F">
            <w:pPr>
              <w:jc w:val="center"/>
              <w:rPr>
                <w:rFonts w:ascii="宋体" w:hAnsi="宋体" w:eastAsia="宋体" w:cs="宋体"/>
              </w:rPr>
            </w:pPr>
            <w:r>
              <w:rPr>
                <w:rFonts w:ascii="宋体" w:hAnsi="宋体" w:eastAsia="宋体" w:cs="宋体"/>
                <w:sz w:val="28"/>
              </w:rPr>
              <w:t>1</w:t>
            </w:r>
          </w:p>
        </w:tc>
        <w:tc>
          <w:tcPr>
            <w:tcW w:w="4619" w:type="dxa"/>
            <w:shd w:val="clear" w:color="000000" w:fill="FFFFFF"/>
            <w:vAlign w:val="center"/>
          </w:tcPr>
          <w:p w14:paraId="5712B2B4">
            <w:pPr>
              <w:jc w:val="left"/>
              <w:rPr>
                <w:rFonts w:hint="eastAsia" w:ascii="宋体" w:hAnsi="宋体" w:eastAsia="宋体" w:cs="宋体"/>
                <w:sz w:val="24"/>
                <w:szCs w:val="24"/>
              </w:rPr>
            </w:pPr>
            <w:r>
              <w:rPr>
                <w:rFonts w:hint="eastAsia" w:ascii="宋体" w:hAnsi="宋体" w:eastAsia="宋体" w:cs="宋体"/>
                <w:kern w:val="0"/>
                <w:sz w:val="24"/>
                <w:szCs w:val="24"/>
                <w:lang w:bidi="ar"/>
              </w:rPr>
              <w:t>宫腔镜</w:t>
            </w:r>
            <w:r>
              <w:rPr>
                <w:rFonts w:hint="eastAsia" w:ascii="宋体" w:hAnsi="宋体" w:eastAsia="宋体" w:cs="宋体"/>
                <w:sz w:val="24"/>
                <w:szCs w:val="24"/>
              </w:rPr>
              <w:t xml:space="preserve"> 30度</w:t>
            </w:r>
          </w:p>
        </w:tc>
        <w:tc>
          <w:tcPr>
            <w:tcW w:w="1275" w:type="dxa"/>
            <w:shd w:val="clear" w:color="000000" w:fill="FFFFFF"/>
          </w:tcPr>
          <w:p w14:paraId="035E92AA">
            <w:pPr>
              <w:rPr>
                <w:rFonts w:hint="eastAsia" w:ascii="宋体" w:hAnsi="宋体" w:eastAsia="宋体" w:cs="宋体"/>
                <w:sz w:val="24"/>
                <w:szCs w:val="24"/>
              </w:rPr>
            </w:pPr>
            <w:r>
              <w:rPr>
                <w:rFonts w:hint="eastAsia" w:ascii="宋体" w:hAnsi="宋体" w:eastAsia="宋体" w:cs="宋体"/>
                <w:sz w:val="24"/>
                <w:szCs w:val="24"/>
              </w:rPr>
              <w:t>2</w:t>
            </w:r>
          </w:p>
        </w:tc>
        <w:tc>
          <w:tcPr>
            <w:tcW w:w="1196" w:type="dxa"/>
            <w:shd w:val="clear" w:color="000000" w:fill="FFFFFF"/>
          </w:tcPr>
          <w:p w14:paraId="5E2D3895">
            <w:pPr>
              <w:rPr>
                <w:rFonts w:hint="eastAsia" w:ascii="宋体" w:hAnsi="宋体" w:eastAsia="宋体" w:cs="宋体"/>
                <w:sz w:val="24"/>
                <w:szCs w:val="24"/>
              </w:rPr>
            </w:pPr>
            <w:r>
              <w:rPr>
                <w:rFonts w:hint="eastAsia" w:ascii="宋体" w:hAnsi="宋体" w:eastAsia="宋体" w:cs="宋体"/>
                <w:sz w:val="24"/>
                <w:szCs w:val="24"/>
              </w:rPr>
              <w:t>支</w:t>
            </w:r>
          </w:p>
        </w:tc>
      </w:tr>
      <w:tr w14:paraId="44BF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vAlign w:val="center"/>
          </w:tcPr>
          <w:p w14:paraId="4BD3A904">
            <w:pPr>
              <w:jc w:val="center"/>
              <w:rPr>
                <w:rFonts w:ascii="宋体" w:hAnsi="宋体" w:eastAsia="宋体" w:cs="宋体"/>
              </w:rPr>
            </w:pPr>
            <w:r>
              <w:rPr>
                <w:rFonts w:ascii="宋体" w:hAnsi="宋体" w:eastAsia="宋体" w:cs="宋体"/>
                <w:sz w:val="28"/>
              </w:rPr>
              <w:t>2</w:t>
            </w:r>
          </w:p>
        </w:tc>
        <w:tc>
          <w:tcPr>
            <w:tcW w:w="4619" w:type="dxa"/>
            <w:shd w:val="clear" w:color="000000" w:fill="FFFFFF"/>
            <w:vAlign w:val="center"/>
          </w:tcPr>
          <w:p w14:paraId="1207D36D">
            <w:pPr>
              <w:jc w:val="left"/>
              <w:rPr>
                <w:rFonts w:hint="eastAsia" w:ascii="宋体" w:hAnsi="宋体" w:eastAsia="宋体" w:cs="宋体"/>
                <w:sz w:val="24"/>
                <w:szCs w:val="24"/>
              </w:rPr>
            </w:pPr>
            <w:r>
              <w:rPr>
                <w:rFonts w:hint="eastAsia" w:ascii="宋体" w:hAnsi="宋体" w:eastAsia="宋体" w:cs="宋体"/>
                <w:kern w:val="0"/>
                <w:sz w:val="24"/>
                <w:szCs w:val="24"/>
                <w:lang w:bidi="ar"/>
              </w:rPr>
              <w:t>宫腔镜手术器械-异物钳</w:t>
            </w:r>
          </w:p>
        </w:tc>
        <w:tc>
          <w:tcPr>
            <w:tcW w:w="1275" w:type="dxa"/>
            <w:shd w:val="clear" w:color="000000" w:fill="FFFFFF"/>
          </w:tcPr>
          <w:p w14:paraId="5146AF53">
            <w:pPr>
              <w:rPr>
                <w:rFonts w:hint="eastAsia" w:ascii="宋体" w:hAnsi="宋体" w:eastAsia="宋体" w:cs="宋体"/>
                <w:sz w:val="24"/>
                <w:szCs w:val="24"/>
              </w:rPr>
            </w:pPr>
            <w:r>
              <w:rPr>
                <w:rFonts w:hint="eastAsia" w:ascii="宋体" w:hAnsi="宋体" w:eastAsia="宋体" w:cs="宋体"/>
                <w:sz w:val="24"/>
                <w:szCs w:val="24"/>
              </w:rPr>
              <w:t>2</w:t>
            </w:r>
          </w:p>
        </w:tc>
        <w:tc>
          <w:tcPr>
            <w:tcW w:w="1196" w:type="dxa"/>
            <w:shd w:val="clear" w:color="000000" w:fill="FFFFFF"/>
          </w:tcPr>
          <w:p w14:paraId="1FC0DBDF">
            <w:pPr>
              <w:rPr>
                <w:rFonts w:hint="eastAsia" w:ascii="宋体" w:hAnsi="宋体" w:eastAsia="宋体" w:cs="宋体"/>
                <w:sz w:val="24"/>
                <w:szCs w:val="24"/>
              </w:rPr>
            </w:pPr>
            <w:r>
              <w:rPr>
                <w:rFonts w:hint="eastAsia" w:ascii="宋体" w:hAnsi="宋体" w:eastAsia="宋体" w:cs="宋体"/>
                <w:sz w:val="24"/>
                <w:szCs w:val="24"/>
              </w:rPr>
              <w:t>把</w:t>
            </w:r>
          </w:p>
        </w:tc>
      </w:tr>
      <w:tr w14:paraId="7AF5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07" w:type="dxa"/>
            <w:vAlign w:val="center"/>
          </w:tcPr>
          <w:p w14:paraId="08CB61F2">
            <w:pPr>
              <w:jc w:val="center"/>
              <w:rPr>
                <w:rFonts w:ascii="宋体" w:hAnsi="宋体" w:eastAsia="宋体" w:cs="宋体"/>
              </w:rPr>
            </w:pPr>
            <w:r>
              <w:rPr>
                <w:rFonts w:ascii="宋体" w:hAnsi="宋体" w:eastAsia="宋体" w:cs="宋体"/>
                <w:sz w:val="28"/>
              </w:rPr>
              <w:t>3</w:t>
            </w:r>
          </w:p>
        </w:tc>
        <w:tc>
          <w:tcPr>
            <w:tcW w:w="4619" w:type="dxa"/>
            <w:shd w:val="clear" w:color="000000" w:fill="FFFFFF"/>
            <w:vAlign w:val="center"/>
          </w:tcPr>
          <w:p w14:paraId="7D794984">
            <w:pPr>
              <w:jc w:val="left"/>
              <w:rPr>
                <w:rFonts w:hint="eastAsia" w:ascii="宋体" w:hAnsi="宋体" w:eastAsia="宋体" w:cs="宋体"/>
                <w:sz w:val="24"/>
                <w:szCs w:val="24"/>
              </w:rPr>
            </w:pPr>
            <w:r>
              <w:rPr>
                <w:rFonts w:hint="eastAsia" w:ascii="宋体" w:hAnsi="宋体" w:eastAsia="宋体" w:cs="宋体"/>
                <w:kern w:val="0"/>
                <w:sz w:val="24"/>
                <w:szCs w:val="24"/>
                <w:lang w:bidi="ar"/>
              </w:rPr>
              <w:t>宫腔镜手术器械-剪刀</w:t>
            </w:r>
          </w:p>
        </w:tc>
        <w:tc>
          <w:tcPr>
            <w:tcW w:w="1275" w:type="dxa"/>
            <w:shd w:val="clear" w:color="000000" w:fill="FFFFFF"/>
          </w:tcPr>
          <w:p w14:paraId="31064D88">
            <w:pPr>
              <w:rPr>
                <w:rFonts w:hint="eastAsia" w:ascii="宋体" w:hAnsi="宋体" w:eastAsia="宋体" w:cs="宋体"/>
                <w:sz w:val="24"/>
                <w:szCs w:val="24"/>
              </w:rPr>
            </w:pPr>
            <w:r>
              <w:rPr>
                <w:rFonts w:hint="eastAsia" w:ascii="宋体" w:hAnsi="宋体" w:eastAsia="宋体" w:cs="宋体"/>
                <w:sz w:val="24"/>
                <w:szCs w:val="24"/>
              </w:rPr>
              <w:t>2</w:t>
            </w:r>
          </w:p>
        </w:tc>
        <w:tc>
          <w:tcPr>
            <w:tcW w:w="1196" w:type="dxa"/>
            <w:shd w:val="clear" w:color="000000" w:fill="FFFFFF"/>
          </w:tcPr>
          <w:p w14:paraId="59D9288E">
            <w:pPr>
              <w:rPr>
                <w:rFonts w:hint="eastAsia" w:ascii="宋体" w:hAnsi="宋体" w:eastAsia="宋体" w:cs="宋体"/>
                <w:sz w:val="24"/>
                <w:szCs w:val="24"/>
              </w:rPr>
            </w:pPr>
            <w:r>
              <w:rPr>
                <w:rFonts w:hint="eastAsia" w:ascii="宋体" w:hAnsi="宋体" w:eastAsia="宋体" w:cs="宋体"/>
                <w:sz w:val="24"/>
                <w:szCs w:val="24"/>
              </w:rPr>
              <w:t>把</w:t>
            </w:r>
          </w:p>
        </w:tc>
      </w:tr>
    </w:tbl>
    <w:p w14:paraId="0B88A9A6">
      <w:pPr>
        <w:widowControl/>
        <w:jc w:val="left"/>
        <w:textAlignment w:val="center"/>
        <w:rPr>
          <w:rFonts w:ascii="仿宋_GB2312" w:hAnsi="宋体" w:eastAsia="仿宋_GB2312" w:cs="仿宋_GB2312"/>
          <w:b/>
          <w:bCs/>
          <w:color w:val="000000"/>
          <w:kern w:val="0"/>
          <w:sz w:val="24"/>
          <w:szCs w:val="24"/>
        </w:rPr>
      </w:pPr>
    </w:p>
    <w:p w14:paraId="14E0F496">
      <w:pPr>
        <w:widowControl/>
        <w:jc w:val="left"/>
        <w:textAlignment w:val="center"/>
        <w:rPr>
          <w:rFonts w:ascii="仿宋_GB2312" w:hAnsi="宋体" w:eastAsia="仿宋_GB2312" w:cs="仿宋_GB2312"/>
          <w:b/>
          <w:bCs/>
          <w:color w:val="000000"/>
          <w:kern w:val="0"/>
          <w:sz w:val="24"/>
          <w:szCs w:val="24"/>
        </w:rPr>
      </w:pPr>
      <w:r>
        <w:rPr>
          <w:rFonts w:hint="eastAsia" w:ascii="仿宋_GB2312" w:hAnsi="宋体" w:eastAsia="仿宋_GB2312" w:cs="仿宋_GB2312"/>
          <w:b/>
          <w:bCs/>
          <w:color w:val="000000"/>
          <w:kern w:val="0"/>
          <w:sz w:val="24"/>
          <w:szCs w:val="24"/>
        </w:rPr>
        <w:t>2.商务需求：</w:t>
      </w:r>
    </w:p>
    <w:tbl>
      <w:tblPr>
        <w:tblStyle w:val="7"/>
        <w:tblW w:w="9698" w:type="dxa"/>
        <w:jc w:val="center"/>
        <w:tblLayout w:type="fixed"/>
        <w:tblCellMar>
          <w:top w:w="0" w:type="dxa"/>
          <w:left w:w="108" w:type="dxa"/>
          <w:bottom w:w="0" w:type="dxa"/>
          <w:right w:w="108" w:type="dxa"/>
        </w:tblCellMar>
      </w:tblPr>
      <w:tblGrid>
        <w:gridCol w:w="717"/>
        <w:gridCol w:w="543"/>
        <w:gridCol w:w="1452"/>
        <w:gridCol w:w="6986"/>
      </w:tblGrid>
      <w:tr w14:paraId="4E94DF6C">
        <w:tblPrEx>
          <w:tblCellMar>
            <w:top w:w="0" w:type="dxa"/>
            <w:left w:w="108" w:type="dxa"/>
            <w:bottom w:w="0" w:type="dxa"/>
            <w:right w:w="108" w:type="dxa"/>
          </w:tblCellMar>
        </w:tblPrEx>
        <w:trPr>
          <w:trHeight w:val="78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E5DF">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序号</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2FF3C">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商务需求项</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CD68">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商务要求</w:t>
            </w:r>
          </w:p>
        </w:tc>
      </w:tr>
      <w:tr w14:paraId="1DF0D11E">
        <w:tblPrEx>
          <w:tblCellMar>
            <w:top w:w="0" w:type="dxa"/>
            <w:left w:w="108" w:type="dxa"/>
            <w:bottom w:w="0" w:type="dxa"/>
            <w:right w:w="108" w:type="dxa"/>
          </w:tblCellMar>
        </w:tblPrEx>
        <w:trPr>
          <w:trHeight w:val="780"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2D6AD">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（一）免费保修期内售后服务要求</w:t>
            </w:r>
          </w:p>
        </w:tc>
      </w:tr>
      <w:tr w14:paraId="4B2FFAA7">
        <w:tblPrEx>
          <w:tblCellMar>
            <w:top w:w="0" w:type="dxa"/>
            <w:left w:w="108" w:type="dxa"/>
            <w:bottom w:w="0" w:type="dxa"/>
            <w:right w:w="108" w:type="dxa"/>
          </w:tblCellMar>
        </w:tblPrEx>
        <w:trPr>
          <w:trHeight w:val="750"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420E6E3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0927C3D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免费保修期</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B820">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5CF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设备原厂（含附件）免费保修期为</w:t>
            </w:r>
            <w:r>
              <w:rPr>
                <w:rStyle w:val="16"/>
                <w:rFonts w:hint="eastAsia" w:hAnsi="宋体" w:eastAsia="仿宋_GB2312"/>
                <w:highlight w:val="yellow"/>
                <w:lang w:val="en-US" w:eastAsia="zh-CN"/>
              </w:rPr>
              <w:t>3</w:t>
            </w:r>
            <w:r>
              <w:rPr>
                <w:rStyle w:val="15"/>
                <w:rFonts w:hint="default" w:hAnsi="宋体"/>
              </w:rPr>
              <w:t>年，自验收报告签字之日开始计算。</w:t>
            </w:r>
            <w:r>
              <w:rPr>
                <w:rStyle w:val="15"/>
                <w:rFonts w:hint="default" w:hAnsi="宋体"/>
                <w:color w:val="000000" w:themeColor="text1"/>
                <w:highlight w:val="none"/>
                <w14:textFill>
                  <w14:solidFill>
                    <w14:schemeClr w14:val="tx1"/>
                  </w14:solidFill>
                </w14:textFill>
              </w:rPr>
              <w:t>但国家有关法律法</w:t>
            </w:r>
            <w:r>
              <w:rPr>
                <w:rStyle w:val="15"/>
                <w:rFonts w:hint="eastAsia" w:hAnsi="宋体" w:eastAsia="仿宋_GB2312"/>
                <w:color w:val="000000" w:themeColor="text1"/>
                <w:highlight w:val="none"/>
                <w:lang w:eastAsia="zh-CN"/>
                <w14:textFill>
                  <w14:solidFill>
                    <w14:schemeClr w14:val="tx1"/>
                  </w14:solidFill>
                </w14:textFill>
              </w:rPr>
              <w:t>规和</w:t>
            </w:r>
            <w:r>
              <w:rPr>
                <w:rStyle w:val="15"/>
                <w:rFonts w:hint="default" w:hAnsi="宋体"/>
                <w:color w:val="000000" w:themeColor="text1"/>
                <w:highlight w:val="none"/>
                <w14:textFill>
                  <w14:solidFill>
                    <w14:schemeClr w14:val="tx1"/>
                  </w14:solidFill>
                </w14:textFill>
              </w:rPr>
              <w:t>规章的规定、“三包”规定、生产厂商的声明、招标/采购文件的要求及投标人在投标文件/应答文件的有关保修期的承诺长于本合同约定的免费保修期的，取其中期限最长者作为本合同项下货物的免费保修期。</w:t>
            </w:r>
          </w:p>
        </w:tc>
      </w:tr>
      <w:tr w14:paraId="2FEE3779">
        <w:tblPrEx>
          <w:tblCellMar>
            <w:top w:w="0" w:type="dxa"/>
            <w:left w:w="108" w:type="dxa"/>
            <w:bottom w:w="0" w:type="dxa"/>
            <w:right w:w="108" w:type="dxa"/>
          </w:tblCellMar>
        </w:tblPrEx>
        <w:trPr>
          <w:trHeight w:val="590" w:hRule="atLeast"/>
          <w:jc w:val="center"/>
        </w:trPr>
        <w:tc>
          <w:tcPr>
            <w:tcW w:w="717" w:type="dxa"/>
            <w:vMerge w:val="continue"/>
            <w:tcBorders>
              <w:left w:val="single" w:color="000000" w:sz="4" w:space="0"/>
              <w:right w:val="single" w:color="000000" w:sz="4" w:space="0"/>
            </w:tcBorders>
            <w:shd w:val="clear" w:color="auto" w:fill="auto"/>
            <w:vAlign w:val="center"/>
          </w:tcPr>
          <w:p w14:paraId="6177A935">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526E69CD">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690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5F3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因质量问题造成设备全部或部分停止使用的时间，保修期予以相应的延长。在保修期内</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将免费维修和更换属质量原因造成的零部件损坏，保修期外零部件的损坏，提供的配件只收配件成本费。保修期满后，</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还必须提供设备的终身维护。</w:t>
            </w:r>
          </w:p>
        </w:tc>
      </w:tr>
      <w:tr w14:paraId="1E43D66B">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38DD6EE7">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77D4E66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BC6">
            <w:pPr>
              <w:widowControl/>
              <w:jc w:val="center"/>
              <w:textAlignment w:val="center"/>
              <w:rPr>
                <w:rFonts w:hint="eastAsia" w:ascii="仿宋_GB2312" w:hAnsi="宋体" w:eastAsia="仿宋_GB2312" w:cs="仿宋_GB2312"/>
                <w:b/>
                <w:bCs/>
                <w:color w:val="000000"/>
                <w:kern w:val="2"/>
                <w:sz w:val="28"/>
                <w:szCs w:val="28"/>
                <w:lang w:val="en-US" w:eastAsia="zh-CN" w:bidi="ar-SA"/>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7B93">
            <w:pPr>
              <w:widowControl/>
              <w:textAlignment w:val="center"/>
              <w:rPr>
                <w:rFonts w:hint="eastAsia" w:ascii="仿宋_GB2312" w:hAnsi="宋体" w:eastAsia="仿宋_GB2312" w:cs="仿宋_GB2312"/>
                <w:color w:val="000000"/>
                <w:kern w:val="2"/>
                <w:sz w:val="28"/>
                <w:szCs w:val="28"/>
                <w:lang w:val="en-US" w:eastAsia="zh-CN" w:bidi="ar-SA"/>
              </w:rPr>
            </w:pPr>
            <w:r>
              <w:rPr>
                <w:rFonts w:hint="eastAsia" w:ascii="仿宋_GB2312" w:hAnsi="宋体" w:eastAsia="仿宋_GB2312" w:cs="仿宋_GB2312"/>
                <w:color w:val="000000"/>
                <w:kern w:val="0"/>
                <w:sz w:val="28"/>
                <w:szCs w:val="28"/>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熟悉设备的运行环境，对设备的性能有详细的了解和熟练掌握设备的使用方法，不定期到采购单位巡检、每半年按采购人要求无条件提供预防性维护检测报告，以及每年按采购人要求无条件进行仪器校准，并出具校准报告（投标人不得向采购人收取额外的费用），及时发现和处理问题，确保设备正常和安全使用并得到良好的维护保养，</w:t>
            </w:r>
            <w:r>
              <w:rPr>
                <w:rFonts w:hint="default" w:ascii="仿宋_GB2312" w:hAnsi="宋体" w:eastAsia="仿宋_GB2312" w:cs="仿宋_GB2312"/>
                <w:color w:val="000000"/>
                <w:kern w:val="0"/>
                <w:sz w:val="28"/>
                <w:szCs w:val="28"/>
                <w:lang w:val="en-US"/>
              </w:rPr>
              <w:t>同时</w:t>
            </w:r>
            <w:r>
              <w:rPr>
                <w:rFonts w:hint="eastAsia" w:ascii="仿宋_GB2312" w:hAnsi="宋体" w:eastAsia="仿宋_GB2312" w:cs="仿宋_GB2312"/>
                <w:color w:val="000000"/>
                <w:kern w:val="0"/>
                <w:sz w:val="28"/>
                <w:szCs w:val="28"/>
              </w:rPr>
              <w:t>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067B7ABB">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2F8B50CB">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4F1A299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A25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val="0"/>
                <w:bCs w:val="0"/>
                <w:color w:val="000000" w:themeColor="text1"/>
                <w:kern w:val="0"/>
                <w:sz w:val="28"/>
                <w:szCs w:val="28"/>
                <w:highlight w:val="none"/>
                <w14:textFill>
                  <w14:solidFill>
                    <w14:schemeClr w14:val="tx1"/>
                  </w14:solidFill>
                </w14:textFill>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2166">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在保修期内，投标人必须保证设备的年正常开机率&gt;95%，若不能达到此开机率，将作以下处理：（1）年正常开机率在＞90且≤95%之间按一赔二延长保修期（即停机一天延长保修期二天）；</w:t>
            </w:r>
          </w:p>
          <w:p w14:paraId="42336B2B">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（2）年正常开机率在＞85且≤90%之间按一赔五延长保修期（即停机一天延长保修期五天）；</w:t>
            </w:r>
          </w:p>
          <w:p w14:paraId="288C7A1D">
            <w:pPr>
              <w:widowControl/>
              <w:textAlignment w:val="center"/>
              <w:rPr>
                <w:rFonts w:hint="eastAsia" w:ascii="仿宋_GB2312" w:hAnsi="宋体" w:eastAsia="仿宋_GB2312" w:cs="仿宋_GB2312"/>
                <w:color w:val="000000" w:themeColor="text1"/>
                <w:kern w:val="0"/>
                <w:sz w:val="28"/>
                <w:szCs w:val="28"/>
                <w:highlight w:val="none"/>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3）年正常开机率≤85%，投标人必须无条件更换新机，重新计算保修期，并赔偿采购人的直接经济损失和间接经济损失。注：年正常开机率=（365-停机天数）/365。其中，间接经济损失可按采购人或同等级医院相同或具备同等功能的货物，最近连续6个月的日平均诊疗服务收入作为计算基数，按日自停机之日起计算至投标人提供替代货物投入正常运行之日止</w:t>
            </w:r>
          </w:p>
        </w:tc>
      </w:tr>
      <w:tr w14:paraId="73825D7A">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1C6DD04F">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5725511D">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F5B9">
            <w:pPr>
              <w:widowControl/>
              <w:jc w:val="left"/>
              <w:textAlignment w:val="center"/>
              <w:rPr>
                <w:rFonts w:hint="eastAsia" w:ascii="仿宋_GB2312" w:hAnsi="宋体" w:eastAsia="仿宋_GB2312" w:cs="仿宋_GB2312"/>
                <w:b w:val="0"/>
                <w:bCs w:val="0"/>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b w:val="0"/>
                <w:bCs w:val="0"/>
                <w:color w:val="000000" w:themeColor="text1"/>
                <w:kern w:val="0"/>
                <w:sz w:val="28"/>
                <w:szCs w:val="28"/>
                <w:highlight w:val="none"/>
                <w14:textFill>
                  <w14:solidFill>
                    <w14:schemeClr w14:val="tx1"/>
                  </w14:solidFill>
                </w14:textFill>
              </w:rPr>
              <w:t>1.5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7380">
            <w:pPr>
              <w:widowControl/>
              <w:textAlignment w:val="cente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投标人交付的货物经验收合格后，在保修期内连续三个月内频繁（平均每月1次或1次以上）出现设备不能正常使用的情况或经3次维修后再次出现故障，采购人有权要求投标人免费换货或退货（因人为因素造成的故障除外）。</w:t>
            </w:r>
          </w:p>
        </w:tc>
      </w:tr>
      <w:tr w14:paraId="4F1093F8">
        <w:tblPrEx>
          <w:tblCellMar>
            <w:top w:w="0" w:type="dxa"/>
            <w:left w:w="108" w:type="dxa"/>
            <w:bottom w:w="0" w:type="dxa"/>
            <w:right w:w="108" w:type="dxa"/>
          </w:tblCellMar>
        </w:tblPrEx>
        <w:trPr>
          <w:trHeight w:val="75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CE2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2F7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7CB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A89C">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投标人应按其投标文件中的承诺，进行其他售后服务工作。</w:t>
            </w:r>
          </w:p>
        </w:tc>
      </w:tr>
      <w:tr w14:paraId="08F83152">
        <w:tblPrEx>
          <w:tblCellMar>
            <w:top w:w="0" w:type="dxa"/>
            <w:left w:w="108" w:type="dxa"/>
            <w:bottom w:w="0" w:type="dxa"/>
            <w:right w:w="108" w:type="dxa"/>
          </w:tblCellMar>
        </w:tblPrEx>
        <w:trPr>
          <w:trHeight w:val="375"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330CD8">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w:t>
            </w:r>
            <w:r>
              <w:rPr>
                <w:rFonts w:hint="eastAsia" w:ascii="仿宋_GB2312" w:hAnsi="宋体" w:eastAsia="仿宋_GB2312" w:cs="仿宋_GB2312"/>
                <w:b/>
                <w:bCs/>
                <w:color w:val="000000"/>
                <w:kern w:val="0"/>
                <w:sz w:val="28"/>
                <w:szCs w:val="28"/>
                <w:lang w:val="en-US" w:eastAsia="zh-CN"/>
              </w:rPr>
              <w:t>二</w:t>
            </w:r>
            <w:r>
              <w:rPr>
                <w:rFonts w:hint="eastAsia" w:ascii="仿宋_GB2312" w:hAnsi="宋体" w:eastAsia="仿宋_GB2312" w:cs="仿宋_GB2312"/>
                <w:b/>
                <w:bCs/>
                <w:color w:val="000000"/>
                <w:kern w:val="0"/>
                <w:sz w:val="28"/>
                <w:szCs w:val="28"/>
              </w:rPr>
              <w:t>）其他商务要求</w:t>
            </w:r>
          </w:p>
        </w:tc>
      </w:tr>
      <w:tr w14:paraId="12C9891E">
        <w:tblPrEx>
          <w:tblCellMar>
            <w:top w:w="0" w:type="dxa"/>
            <w:left w:w="108" w:type="dxa"/>
            <w:bottom w:w="0" w:type="dxa"/>
            <w:right w:w="108" w:type="dxa"/>
          </w:tblCellMar>
        </w:tblPrEx>
        <w:trPr>
          <w:trHeight w:val="37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7FC9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E708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关于交货</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602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44B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合同签订或约定之</w:t>
            </w:r>
            <w:r>
              <w:rPr>
                <w:rFonts w:hint="eastAsia" w:ascii="仿宋_GB2312" w:hAnsi="仿宋_GB2312" w:eastAsia="仿宋_GB2312" w:cs="仿宋_GB2312"/>
                <w:kern w:val="0"/>
                <w:sz w:val="28"/>
                <w:szCs w:val="28"/>
              </w:rPr>
              <w:t>日起</w:t>
            </w:r>
            <w:r>
              <w:rPr>
                <w:rFonts w:hint="eastAsia" w:ascii="仿宋_GB2312" w:hAnsi="仿宋_GB2312" w:eastAsia="仿宋_GB2312" w:cs="仿宋_GB2312"/>
                <w:kern w:val="0"/>
                <w:sz w:val="28"/>
                <w:szCs w:val="28"/>
                <w:highlight w:val="yellow"/>
                <w:lang w:val="en-US" w:eastAsia="zh-CN"/>
              </w:rPr>
              <w:t>30</w:t>
            </w:r>
            <w:r>
              <w:rPr>
                <w:rFonts w:ascii="仿宋_GB2312" w:hAnsi="仿宋_GB2312" w:eastAsia="仿宋_GB2312" w:cs="仿宋_GB2312"/>
                <w:kern w:val="0"/>
                <w:sz w:val="28"/>
                <w:szCs w:val="28"/>
              </w:rPr>
              <w:t>日</w:t>
            </w:r>
            <w:r>
              <w:rPr>
                <w:rStyle w:val="15"/>
                <w:rFonts w:hint="default" w:hAnsi="宋体"/>
              </w:rPr>
              <w:t>历天内交货。</w:t>
            </w:r>
          </w:p>
        </w:tc>
      </w:tr>
      <w:tr w14:paraId="2E9B6CDD">
        <w:tblPrEx>
          <w:tblCellMar>
            <w:top w:w="0" w:type="dxa"/>
            <w:left w:w="108" w:type="dxa"/>
            <w:bottom w:w="0" w:type="dxa"/>
            <w:right w:w="108" w:type="dxa"/>
          </w:tblCellMar>
        </w:tblPrEx>
        <w:trPr>
          <w:trHeight w:val="3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25522">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7381">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FCF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11F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地点：采购人指定地点。</w:t>
            </w:r>
          </w:p>
        </w:tc>
      </w:tr>
      <w:tr w14:paraId="2B7BEE04">
        <w:tblPrEx>
          <w:tblCellMar>
            <w:top w:w="0" w:type="dxa"/>
            <w:left w:w="108" w:type="dxa"/>
            <w:bottom w:w="0" w:type="dxa"/>
            <w:right w:w="108" w:type="dxa"/>
          </w:tblCellMar>
        </w:tblPrEx>
        <w:trPr>
          <w:trHeight w:val="652"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44665">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ED85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858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FCA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投标人必须在交货之日起</w:t>
            </w:r>
            <w:r>
              <w:rPr>
                <w:rStyle w:val="16"/>
                <w:rFonts w:hint="default" w:hAnsi="宋体"/>
                <w:b w:val="0"/>
                <w:bCs w:val="0"/>
              </w:rPr>
              <w:t>60</w:t>
            </w:r>
            <w:r>
              <w:rPr>
                <w:rStyle w:val="15"/>
                <w:rFonts w:hint="default" w:hAnsi="宋体"/>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4C172066">
        <w:tblPrEx>
          <w:tblCellMar>
            <w:top w:w="0" w:type="dxa"/>
            <w:left w:w="108" w:type="dxa"/>
            <w:bottom w:w="0" w:type="dxa"/>
            <w:right w:w="108" w:type="dxa"/>
          </w:tblCellMar>
        </w:tblPrEx>
        <w:trPr>
          <w:trHeight w:val="124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729AC">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F4852">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872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15B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包装运输：投标人提供的设备必须是</w:t>
            </w:r>
            <w:r>
              <w:rPr>
                <w:rFonts w:hint="eastAsia" w:ascii="仿宋_GB2312" w:hAnsi="宋体" w:eastAsia="仿宋_GB2312" w:cs="仿宋_GB2312"/>
                <w:color w:val="000000"/>
                <w:kern w:val="0"/>
                <w:sz w:val="28"/>
                <w:szCs w:val="28"/>
                <w:lang w:val="en-US" w:eastAsia="zh-CN"/>
              </w:rPr>
              <w:t>在实际交货前</w:t>
            </w:r>
            <w:r>
              <w:rPr>
                <w:rFonts w:hint="eastAsia" w:ascii="仿宋_GB2312" w:hAnsi="宋体" w:eastAsia="仿宋_GB2312" w:cs="仿宋_GB2312"/>
                <w:color w:val="000000"/>
                <w:kern w:val="0"/>
                <w:sz w:val="28"/>
                <w:szCs w:val="28"/>
              </w:rPr>
              <w:t>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投标人承担，（包括但不限于运输费、装卸费、保管费等）。</w:t>
            </w:r>
          </w:p>
        </w:tc>
      </w:tr>
      <w:tr w14:paraId="316E4D00">
        <w:tblPrEx>
          <w:tblCellMar>
            <w:top w:w="0" w:type="dxa"/>
            <w:left w:w="108" w:type="dxa"/>
            <w:bottom w:w="0" w:type="dxa"/>
            <w:right w:w="108" w:type="dxa"/>
          </w:tblCellMar>
        </w:tblPrEx>
        <w:trPr>
          <w:trHeight w:val="112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3C02">
            <w:pPr>
              <w:widowControl/>
              <w:jc w:val="center"/>
              <w:textAlignment w:val="center"/>
              <w:rPr>
                <w:rFonts w:hint="eastAsia" w:ascii="仿宋_GB2312" w:hAnsi="宋体" w:eastAsia="仿宋_GB2312" w:cs="仿宋_GB2312"/>
                <w:b/>
                <w:bCs/>
                <w:color w:val="000000"/>
                <w:kern w:val="0"/>
                <w:sz w:val="28"/>
                <w:szCs w:val="28"/>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13AC">
            <w:pPr>
              <w:widowControl/>
              <w:jc w:val="center"/>
              <w:textAlignment w:val="center"/>
              <w:rPr>
                <w:rFonts w:hint="eastAsia" w:ascii="仿宋_GB2312" w:hAnsi="宋体" w:eastAsia="仿宋_GB2312" w:cs="仿宋_GB2312"/>
                <w:b/>
                <w:bCs/>
                <w:color w:val="000000"/>
                <w:kern w:val="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4D9C">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8F34">
            <w:pPr>
              <w:widowControl/>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到货验收：设备送达采购人指定地点后，采购人、投标人双方进行初步货物验收，投标人因自身原因不能到场参与验收，则视同全权委托采购人验收。投标人向采购人提供全套的材料、设备配置清单、检验产品合格证、使用说明书及其他技术资料，进口设备还需要提供正常报关证明和商检合格证明。在原厂标准不低于采购文件所要求的技术标准且符合我国有关技术规范和技术标准的前提下，采购人以设备的较高标准作为验收标准。对此，投标人应提供原厂标准、国家标准等相关文件，并联同设备生产厂家代表全程参与验收。</w:t>
            </w:r>
          </w:p>
        </w:tc>
      </w:tr>
      <w:tr w14:paraId="54B98CFA">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C7D9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1C925">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关于验收</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1057">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50D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投标人货物经过双方检验认可后，签署验收报告，产品保修期自验收合格之日起算，由投标人提供产品保修文件。</w:t>
            </w:r>
          </w:p>
        </w:tc>
      </w:tr>
      <w:tr w14:paraId="5B8DFAB5">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67A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C92E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B3B8">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BB0D">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当满足以下条件时，采购人才向投标人签发货物验收报告：投标人已按照合同规定提供了全部产品及完整的技术资料。货物符合招标文件技术要求，性能满足要求。国产货物必须具备产品合格证。</w:t>
            </w:r>
          </w:p>
        </w:tc>
      </w:tr>
      <w:tr w14:paraId="0C341EBE">
        <w:tblPrEx>
          <w:tblCellMar>
            <w:top w:w="0" w:type="dxa"/>
            <w:left w:w="108" w:type="dxa"/>
            <w:bottom w:w="0" w:type="dxa"/>
            <w:right w:w="108" w:type="dxa"/>
          </w:tblCellMar>
        </w:tblPrEx>
        <w:trPr>
          <w:trHeight w:val="75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88BF">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37AE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EB4">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CC1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凡属于国家规定强制检测的设备项目，都必须具备计量质检部门的检测合格证。</w:t>
            </w:r>
          </w:p>
        </w:tc>
      </w:tr>
      <w:tr w14:paraId="214E2225">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84DED">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0A76">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7BE8">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6C2C">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验收过程中，如采购人拟对货物质量进行实质验收，有权邀请第三方检测机构对货物进行检测或测试，所需的费用由投标人承担。</w:t>
            </w:r>
          </w:p>
        </w:tc>
      </w:tr>
      <w:tr w14:paraId="5E901B25">
        <w:tblPrEx>
          <w:tblCellMar>
            <w:top w:w="0" w:type="dxa"/>
            <w:left w:w="108" w:type="dxa"/>
            <w:bottom w:w="0" w:type="dxa"/>
            <w:right w:w="108" w:type="dxa"/>
          </w:tblCellMar>
        </w:tblPrEx>
        <w:trPr>
          <w:trHeight w:val="4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5B60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F90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1C33">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C4D2">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提供的设备为第一类医疗器械的，验收时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7748277D">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B1B57">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DDAC">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692F">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7</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9CB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在验收过程中，</w:t>
            </w:r>
            <w:r>
              <w:rPr>
                <w:rFonts w:hint="eastAsia" w:ascii="仿宋_GB2312" w:hAnsi="宋体" w:eastAsia="仿宋_GB2312" w:cs="仿宋_GB2312"/>
                <w:color w:val="000000"/>
                <w:kern w:val="0"/>
                <w:sz w:val="28"/>
                <w:szCs w:val="28"/>
                <w:lang w:val="en-US" w:eastAsia="zh-CN"/>
              </w:rPr>
              <w:t>投</w:t>
            </w:r>
            <w:r>
              <w:rPr>
                <w:rFonts w:hint="eastAsia" w:ascii="仿宋_GB2312" w:hAnsi="宋体" w:eastAsia="仿宋_GB2312" w:cs="仿宋_GB2312"/>
                <w:color w:val="000000"/>
                <w:kern w:val="0"/>
                <w:sz w:val="28"/>
                <w:szCs w:val="28"/>
              </w:rPr>
              <w:t>标人需出具与设备制造商签订的与原合同条款一致的维保合同或原厂维保承诺函。</w:t>
            </w:r>
          </w:p>
        </w:tc>
      </w:tr>
      <w:tr w14:paraId="0BA787E1">
        <w:tblPrEx>
          <w:tblCellMar>
            <w:top w:w="0" w:type="dxa"/>
            <w:left w:w="108" w:type="dxa"/>
            <w:bottom w:w="0" w:type="dxa"/>
            <w:right w:w="108" w:type="dxa"/>
          </w:tblCellMar>
        </w:tblPrEx>
        <w:trPr>
          <w:trHeight w:val="1875"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4C9BF44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5C133C0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9543">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A87F">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须支持物联网协议，便于与医院信息系统的对接，按采购人要求无条件开放数据交换接口，并提供技术支持（投标人不得向采购人收取额外的费用），并保证所使用软件的合法性，任何知识产权纠纷与采购人无关。</w:t>
            </w:r>
          </w:p>
        </w:tc>
      </w:tr>
      <w:tr w14:paraId="378DEF44">
        <w:tblPrEx>
          <w:tblCellMar>
            <w:top w:w="0" w:type="dxa"/>
            <w:left w:w="108" w:type="dxa"/>
            <w:bottom w:w="0" w:type="dxa"/>
            <w:right w:w="108" w:type="dxa"/>
          </w:tblCellMar>
        </w:tblPrEx>
        <w:trPr>
          <w:trHeight w:val="2250" w:hRule="atLeast"/>
          <w:jc w:val="center"/>
        </w:trPr>
        <w:tc>
          <w:tcPr>
            <w:tcW w:w="717" w:type="dxa"/>
            <w:vMerge w:val="continue"/>
            <w:tcBorders>
              <w:left w:val="single" w:color="000000" w:sz="4" w:space="0"/>
              <w:right w:val="single" w:color="000000" w:sz="4" w:space="0"/>
            </w:tcBorders>
            <w:shd w:val="clear" w:color="auto" w:fill="auto"/>
            <w:vAlign w:val="center"/>
          </w:tcPr>
          <w:p w14:paraId="45E3565A">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1642957C">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860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1EA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投标人必须是所投产品的制造商或合法代理商或合法授权投标人（提供相关证明扫描件）；若所投产品是国产产品（非进口产品），则投标人不需要提供其为所投产品的制造商或合法代理商或合法授权投标人的证明。</w:t>
            </w:r>
          </w:p>
        </w:tc>
      </w:tr>
      <w:tr w14:paraId="1BE9F211">
        <w:tblPrEx>
          <w:tblCellMar>
            <w:top w:w="0" w:type="dxa"/>
            <w:left w:w="108" w:type="dxa"/>
            <w:bottom w:w="0" w:type="dxa"/>
            <w:right w:w="108" w:type="dxa"/>
          </w:tblCellMar>
        </w:tblPrEx>
        <w:trPr>
          <w:trHeight w:val="1875" w:hRule="atLeast"/>
          <w:jc w:val="center"/>
        </w:trPr>
        <w:tc>
          <w:tcPr>
            <w:tcW w:w="717" w:type="dxa"/>
            <w:vMerge w:val="continue"/>
            <w:tcBorders>
              <w:left w:val="single" w:color="000000" w:sz="4" w:space="0"/>
              <w:right w:val="single" w:color="000000" w:sz="4" w:space="0"/>
            </w:tcBorders>
            <w:shd w:val="clear" w:color="auto" w:fill="auto"/>
            <w:vAlign w:val="center"/>
          </w:tcPr>
          <w:p w14:paraId="1961412F">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403EF96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F31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6E6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若所投产品为进口产品，则投标人需提供由制造商或授权的中国总代理签署的合法有效的保修、维修承诺函（免费保修期满足招标文件要求）扫描件；若所投产品为国产产品，则无需提供。</w:t>
            </w:r>
          </w:p>
        </w:tc>
      </w:tr>
      <w:tr w14:paraId="48652D6D">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6FE5344D">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6E527E5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914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DF37">
            <w:pPr>
              <w:widowControl/>
              <w:textAlignment w:val="center"/>
              <w:rPr>
                <w:rFonts w:ascii="仿宋_GB2312" w:hAnsi="宋体" w:eastAsia="仿宋_GB2312" w:cs="仿宋_GB2312"/>
                <w:color w:val="000000"/>
                <w:sz w:val="28"/>
                <w:szCs w:val="28"/>
              </w:rPr>
            </w:pPr>
            <w:r>
              <w:rPr>
                <w:rFonts w:hint="eastAsia" w:ascii="微软雅黑" w:hAnsi="微软雅黑" w:eastAsia="微软雅黑" w:cs="微软雅黑"/>
                <w:color w:val="000000"/>
                <w:kern w:val="0"/>
                <w:sz w:val="28"/>
                <w:szCs w:val="28"/>
              </w:rPr>
              <w:t>★</w:t>
            </w:r>
            <w:r>
              <w:rPr>
                <w:rFonts w:hint="eastAsia" w:ascii="仿宋_GB2312" w:hAnsi="宋体" w:eastAsia="仿宋_GB2312" w:cs="仿宋_GB2312"/>
                <w:color w:val="000000"/>
                <w:kern w:val="0"/>
                <w:sz w:val="28"/>
                <w:szCs w:val="28"/>
              </w:rPr>
              <w:t>投标人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2B7AC982">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63C56E8E">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643A7C7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55CE">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26C9">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本次标的若包含软件服务，需本地化部署，并严格遵照《中华人民共和国信息安全法》等相关法律法规，符合网络安全管理相关规定，所有数据未经采购方允许，不得向第三方私自泄漏。</w:t>
            </w:r>
          </w:p>
        </w:tc>
      </w:tr>
      <w:tr w14:paraId="1A175CAB">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1F4E8D5B">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58F16A6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9332">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3.6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1C85">
            <w:pPr>
              <w:widowControl/>
              <w:textAlignment w:val="cente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pPr>
            <w:r>
              <w:rPr>
                <w:rFonts w:hint="eastAsia" w:ascii="仿宋_GB2312" w:hAnsi="宋体" w:eastAsia="仿宋_GB2312" w:cs="仿宋_GB2312"/>
                <w:color w:val="000000" w:themeColor="text1"/>
                <w:kern w:val="0"/>
                <w:sz w:val="28"/>
                <w:szCs w:val="28"/>
                <w:highlight w:val="none"/>
                <w:lang w:val="en-US" w:eastAsia="zh-CN" w:bidi="ar-SA"/>
                <w14:textFill>
                  <w14:solidFill>
                    <w14:schemeClr w14:val="tx1"/>
                  </w14:solidFill>
                </w14:textFill>
              </w:rPr>
              <w:t>在免费保修期内，投标人应为采购人提供软件系统的免费升级服务，包括功能优化、漏洞修复、适配性改进、兼容性升级、性能提升等，确保软件系统始终处于稳定、安全、高效的运行状态。投标人应及时响应采购人需求，在接到通知后5个工作日内完成升级工作。升级前，投标人应与采购人充分沟通确认升级内容和时间；升级过程中，要做好数据备份保障工作；升级完成后，需配合采购人进行测试验收。同时提供升级后的相关文档及培训，培训内容包括操作指南讲解、新功能实操演练等。</w:t>
            </w:r>
          </w:p>
        </w:tc>
      </w:tr>
      <w:tr w14:paraId="6D30C05F">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2412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C76F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关于付款</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555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31E5">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themeColor="text1"/>
                <w:kern w:val="0"/>
                <w:sz w:val="28"/>
                <w:szCs w:val="28"/>
                <w:highlight w:val="none"/>
                <w14:textFill>
                  <w14:solidFill>
                    <w14:schemeClr w14:val="tx1"/>
                  </w14:solidFill>
                </w14:textFill>
              </w:rPr>
              <w:t>合同生效后，采购人将根据设备到货及验收进度情况分阶段付款。</w:t>
            </w:r>
            <w:r>
              <w:rPr>
                <w:rFonts w:hint="eastAsia" w:ascii="仿宋_GB2312" w:hAnsi="宋体" w:eastAsia="仿宋_GB2312" w:cs="仿宋_GB2312"/>
                <w:color w:val="000000" w:themeColor="text1"/>
                <w:kern w:val="0"/>
                <w:sz w:val="28"/>
                <w:szCs w:val="28"/>
                <w:highlight w:val="none"/>
                <w14:textFill>
                  <w14:solidFill>
                    <w14:schemeClr w14:val="tx1"/>
                  </w14:solidFill>
                </w14:textFill>
              </w:rPr>
              <w:br w:type="textWrapping"/>
            </w:r>
            <w:r>
              <w:rPr>
                <w:rFonts w:hint="eastAsia" w:ascii="仿宋_GB2312" w:hAnsi="宋体" w:eastAsia="仿宋_GB2312" w:cs="仿宋_GB2312"/>
                <w:color w:val="000000" w:themeColor="text1"/>
                <w:kern w:val="0"/>
                <w:sz w:val="28"/>
                <w:szCs w:val="28"/>
                <w:highlight w:val="none"/>
                <w14:textFill>
                  <w14:solidFill>
                    <w14:schemeClr w14:val="tx1"/>
                  </w14:solidFill>
                </w14:textFill>
              </w:rPr>
              <w:t>（1）合同签订完成后，采购人在收到中标人提供的合规性发票后，支付合同金额的</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5</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0%；</w:t>
            </w:r>
            <w:r>
              <w:rPr>
                <w:rFonts w:hint="eastAsia" w:ascii="仿宋_GB2312" w:hAnsi="宋体" w:eastAsia="仿宋_GB2312" w:cs="仿宋_GB2312"/>
                <w:color w:val="000000" w:themeColor="text1"/>
                <w:kern w:val="0"/>
                <w:sz w:val="28"/>
                <w:szCs w:val="28"/>
                <w:highlight w:val="none"/>
                <w14:textFill>
                  <w14:solidFill>
                    <w14:schemeClr w14:val="tx1"/>
                  </w14:solidFill>
                </w14:textFill>
              </w:rPr>
              <w:br w:type="textWrapping"/>
            </w:r>
            <w:r>
              <w:rPr>
                <w:rFonts w:hint="eastAsia" w:ascii="仿宋_GB2312" w:hAnsi="宋体" w:eastAsia="仿宋_GB2312" w:cs="仿宋_GB2312"/>
                <w:color w:val="000000" w:themeColor="text1"/>
                <w:kern w:val="0"/>
                <w:sz w:val="28"/>
                <w:szCs w:val="28"/>
                <w:highlight w:val="none"/>
                <w14:textFill>
                  <w14:solidFill>
                    <w14:schemeClr w14:val="tx1"/>
                  </w14:solidFill>
                </w14:textFill>
              </w:rPr>
              <w:t>（2）完成设备的性能验收后，支付合同金额的</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5</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0%。</w:t>
            </w:r>
          </w:p>
        </w:tc>
      </w:tr>
      <w:tr w14:paraId="299CD562">
        <w:tblPrEx>
          <w:tblCellMar>
            <w:top w:w="0" w:type="dxa"/>
            <w:left w:w="108" w:type="dxa"/>
            <w:bottom w:w="0" w:type="dxa"/>
            <w:right w:w="108" w:type="dxa"/>
          </w:tblCellMar>
        </w:tblPrEx>
        <w:trPr>
          <w:trHeight w:val="26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A427">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D5C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2F73">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 xml:space="preserve">4.2 </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53A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若采购人使用的是财政资金，</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根据财政拨款程序的要求，当</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完成各项支付手续并报财政审批后，即视为已完成相应的付款义务。若因</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政府财务审批、财务封账等原因导致延迟支付，不视为</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违约。</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投标人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不得以</w:t>
            </w:r>
            <w:r>
              <w:rPr>
                <w:rFonts w:hint="eastAsia" w:ascii="仿宋_GB2312" w:hAnsi="宋体" w:eastAsia="仿宋_GB2312" w:cs="仿宋_GB2312"/>
                <w:color w:val="000000" w:themeColor="text1"/>
                <w:kern w:val="0"/>
                <w:sz w:val="28"/>
                <w:szCs w:val="28"/>
                <w:highlight w:val="none"/>
                <w:lang w:val="en-US" w:eastAsia="zh-CN"/>
                <w14:textFill>
                  <w14:solidFill>
                    <w14:schemeClr w14:val="tx1"/>
                  </w14:solidFill>
                </w14:textFill>
              </w:rPr>
              <w:t>采购人</w:t>
            </w:r>
            <w:r>
              <w:rPr>
                <w:rFonts w:hint="eastAsia" w:ascii="仿宋_GB2312" w:hAnsi="宋体" w:eastAsia="仿宋_GB2312" w:cs="仿宋_GB2312"/>
                <w:color w:val="000000" w:themeColor="text1"/>
                <w:kern w:val="0"/>
                <w:sz w:val="28"/>
                <w:szCs w:val="28"/>
                <w:highlight w:val="none"/>
                <w14:textFill>
                  <w14:solidFill>
                    <w14:schemeClr w14:val="tx1"/>
                  </w14:solidFill>
                </w14:textFill>
              </w:rPr>
              <w:t>逾期付款为由拒绝或怠于履行合同义务</w:t>
            </w:r>
          </w:p>
        </w:tc>
      </w:tr>
      <w:tr w14:paraId="6F839888">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22F6">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9CF2">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48A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835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若本项目财政下达的资金数额不足以支付合同约定的比例金额，采购人将按照实际财政下达的资金数额支付合同款，不足部分将待新的项目资金下达后进行支付。</w:t>
            </w:r>
          </w:p>
        </w:tc>
      </w:tr>
      <w:tr w14:paraId="6A2EFC72">
        <w:tblPrEx>
          <w:tblCellMar>
            <w:top w:w="0" w:type="dxa"/>
            <w:left w:w="108" w:type="dxa"/>
            <w:bottom w:w="0" w:type="dxa"/>
            <w:right w:w="108" w:type="dxa"/>
          </w:tblCellMar>
        </w:tblPrEx>
        <w:trPr>
          <w:trHeight w:val="597"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63180">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E63E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违约责任</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70F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F02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4EF0754E">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D0CD">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94694">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7EA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35F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由于投标人的原因未能按时交货的，每迟一天向采购人支付合同总额的0.5%违约金，如超过交货期10天，采购人有权单方终止合同</w:t>
            </w:r>
            <w:r>
              <w:rPr>
                <w:rFonts w:hint="eastAsia" w:ascii="仿宋_GB2312" w:hAnsi="宋体" w:eastAsia="仿宋_GB2312" w:cs="仿宋_GB2312"/>
                <w:color w:val="000000"/>
                <w:kern w:val="0"/>
                <w:sz w:val="28"/>
                <w:szCs w:val="28"/>
                <w:lang w:eastAsia="zh-CN"/>
              </w:rPr>
              <w:t>，</w:t>
            </w:r>
            <w:r>
              <w:rPr>
                <w:rFonts w:hint="eastAsia" w:ascii="仿宋_GB2312" w:hAnsi="宋体" w:eastAsia="仿宋_GB2312" w:cs="仿宋_GB2312"/>
                <w:color w:val="000000"/>
                <w:kern w:val="0"/>
                <w:sz w:val="28"/>
                <w:szCs w:val="28"/>
              </w:rPr>
              <w:t>投标人向采购人支付合同总额30%的违约金。违约金不足以赔偿采购人损失的，投标人还需继续承担赔偿责任。</w:t>
            </w:r>
          </w:p>
        </w:tc>
      </w:tr>
      <w:tr w14:paraId="34BC33FB">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7C6E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37DA">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0D75">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70DA">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由于投标人的原因，在货到一周内未进行安装调试，或安装调试时间超过正常要求，按每超过一天按合同总额的0.5%向采购人支付违约金。情节严重者，将依照法律程序对投标人进行索赔。</w:t>
            </w:r>
          </w:p>
        </w:tc>
      </w:tr>
    </w:tbl>
    <w:p w14:paraId="3FC8A874">
      <w:pPr>
        <w:pStyle w:val="2"/>
        <w:spacing w:before="0" w:after="0" w:line="240" w:lineRule="auto"/>
        <w:rPr>
          <w:rFonts w:ascii="仿宋" w:hAnsi="仿宋" w:eastAsia="仿宋"/>
          <w:sz w:val="28"/>
          <w:szCs w:val="28"/>
        </w:rPr>
      </w:pPr>
      <w:r>
        <w:rPr>
          <w:rFonts w:hint="eastAsia" w:ascii="仿宋_GB2312" w:hAnsi="仿宋_GB2312" w:eastAsia="仿宋_GB2312" w:cs="仿宋_GB2312"/>
          <w:sz w:val="28"/>
          <w:szCs w:val="28"/>
        </w:rPr>
        <w:t>（七）</w:t>
      </w:r>
      <w:r>
        <w:rPr>
          <w:rFonts w:hint="eastAsia" w:ascii="仿宋" w:hAnsi="仿宋" w:eastAsia="仿宋"/>
          <w:sz w:val="28"/>
          <w:szCs w:val="28"/>
        </w:rPr>
        <w:t>评审规则：</w:t>
      </w:r>
    </w:p>
    <w:p w14:paraId="0FF34CF9">
      <w:pPr>
        <w:adjustRightInd w:val="0"/>
        <w:snapToGrid w:val="0"/>
        <w:jc w:val="left"/>
        <w:rPr>
          <w:rFonts w:ascii="仿宋" w:hAnsi="仿宋" w:eastAsia="仿宋"/>
          <w:sz w:val="28"/>
          <w:szCs w:val="28"/>
        </w:rPr>
      </w:pPr>
      <w:r>
        <w:rPr>
          <w:rFonts w:hint="eastAsia" w:ascii="仿宋" w:hAnsi="仿宋" w:eastAsia="仿宋"/>
          <w:sz w:val="28"/>
          <w:szCs w:val="28"/>
        </w:rPr>
        <w:t>1.评标方法：综合评分法</w:t>
      </w:r>
    </w:p>
    <w:p w14:paraId="454BDED4">
      <w:pPr>
        <w:adjustRightInd w:val="0"/>
        <w:snapToGrid w:val="0"/>
        <w:jc w:val="lef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8ED7">
    <w:pPr>
      <w:pStyle w:val="5"/>
      <w:jc w:val="center"/>
    </w:pPr>
    <w:r>
      <w:fldChar w:fldCharType="begin"/>
    </w:r>
    <w:r>
      <w:instrText xml:space="preserve">PAGE   \* MERGEFORMAT</w:instrText>
    </w:r>
    <w:r>
      <w:fldChar w:fldCharType="separate"/>
    </w:r>
    <w:r>
      <w:rPr>
        <w:lang w:val="zh-CN"/>
      </w:rP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F2293AAC"/>
    <w:multiLevelType w:val="singleLevel"/>
    <w:tmpl w:val="F2293AAC"/>
    <w:lvl w:ilvl="0" w:tentative="0">
      <w:start w:val="1"/>
      <w:numFmt w:val="chineseCounting"/>
      <w:suff w:val="nothing"/>
      <w:lvlText w:val="（%1）"/>
      <w:lvlJc w:val="left"/>
      <w:rPr>
        <w:rFonts w:hint="eastAsia"/>
      </w:rPr>
    </w:lvl>
  </w:abstractNum>
  <w:abstractNum w:abstractNumId="4">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4D2419"/>
    <w:multiLevelType w:val="singleLevel"/>
    <w:tmpl w:val="4F4D2419"/>
    <w:lvl w:ilvl="0" w:tentative="0">
      <w:start w:val="1"/>
      <w:numFmt w:val="decimal"/>
      <w:lvlText w:val="(%1)"/>
      <w:lvlJc w:val="left"/>
      <w:pPr>
        <w:ind w:left="425" w:hanging="425"/>
      </w:pPr>
      <w:rPr>
        <w:rFonts w:hint="default"/>
      </w:rPr>
    </w:lvl>
  </w:abstractNum>
  <w:abstractNum w:abstractNumId="6">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4"/>
  </w:num>
  <w:num w:numId="2">
    <w:abstractNumId w:val="6"/>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16D38"/>
    <w:rsid w:val="00160CAF"/>
    <w:rsid w:val="00162818"/>
    <w:rsid w:val="001D2FCF"/>
    <w:rsid w:val="00216720"/>
    <w:rsid w:val="00225C86"/>
    <w:rsid w:val="002277A4"/>
    <w:rsid w:val="002F1F9D"/>
    <w:rsid w:val="00681410"/>
    <w:rsid w:val="00726AAD"/>
    <w:rsid w:val="0078244A"/>
    <w:rsid w:val="008914B7"/>
    <w:rsid w:val="008F38AA"/>
    <w:rsid w:val="00A12741"/>
    <w:rsid w:val="00A32B4A"/>
    <w:rsid w:val="00A603C1"/>
    <w:rsid w:val="00B64722"/>
    <w:rsid w:val="00B97AED"/>
    <w:rsid w:val="00C9106E"/>
    <w:rsid w:val="00F0176C"/>
    <w:rsid w:val="00F43941"/>
    <w:rsid w:val="0247556A"/>
    <w:rsid w:val="027A149C"/>
    <w:rsid w:val="037B30D4"/>
    <w:rsid w:val="039447DF"/>
    <w:rsid w:val="07B45FBE"/>
    <w:rsid w:val="096B19ED"/>
    <w:rsid w:val="0A7231B5"/>
    <w:rsid w:val="0B050FA0"/>
    <w:rsid w:val="0C05069B"/>
    <w:rsid w:val="0C6A7D1D"/>
    <w:rsid w:val="0D43472F"/>
    <w:rsid w:val="0D532C76"/>
    <w:rsid w:val="0DA614F5"/>
    <w:rsid w:val="0EE94853"/>
    <w:rsid w:val="11A66EFE"/>
    <w:rsid w:val="12215847"/>
    <w:rsid w:val="12D83402"/>
    <w:rsid w:val="15D80177"/>
    <w:rsid w:val="181D2B9D"/>
    <w:rsid w:val="18BA0B12"/>
    <w:rsid w:val="19060921"/>
    <w:rsid w:val="190C23C3"/>
    <w:rsid w:val="198509FA"/>
    <w:rsid w:val="19EA0009"/>
    <w:rsid w:val="1C4A5F2B"/>
    <w:rsid w:val="1D7958E0"/>
    <w:rsid w:val="20BC5D59"/>
    <w:rsid w:val="268A3AF4"/>
    <w:rsid w:val="283C0E1E"/>
    <w:rsid w:val="2B033E75"/>
    <w:rsid w:val="2CBA4A07"/>
    <w:rsid w:val="312A0667"/>
    <w:rsid w:val="31A2252C"/>
    <w:rsid w:val="31BC3D81"/>
    <w:rsid w:val="345D1B1D"/>
    <w:rsid w:val="379408F7"/>
    <w:rsid w:val="386B2CF7"/>
    <w:rsid w:val="3AA23DC1"/>
    <w:rsid w:val="3BE455FD"/>
    <w:rsid w:val="3C4F7559"/>
    <w:rsid w:val="3E4B0461"/>
    <w:rsid w:val="3F110013"/>
    <w:rsid w:val="3F786788"/>
    <w:rsid w:val="418F2299"/>
    <w:rsid w:val="44584291"/>
    <w:rsid w:val="47946129"/>
    <w:rsid w:val="4A246FC0"/>
    <w:rsid w:val="4A7859D6"/>
    <w:rsid w:val="4C4243A5"/>
    <w:rsid w:val="4F624D5E"/>
    <w:rsid w:val="539D45B7"/>
    <w:rsid w:val="547917D2"/>
    <w:rsid w:val="57FE42CF"/>
    <w:rsid w:val="59266DFD"/>
    <w:rsid w:val="5B0A36B8"/>
    <w:rsid w:val="5BD90B93"/>
    <w:rsid w:val="5BDB0272"/>
    <w:rsid w:val="5E457D25"/>
    <w:rsid w:val="64AB61BE"/>
    <w:rsid w:val="65F660FF"/>
    <w:rsid w:val="67646721"/>
    <w:rsid w:val="691D0CB8"/>
    <w:rsid w:val="6C70102E"/>
    <w:rsid w:val="6CC6715F"/>
    <w:rsid w:val="6D282CEC"/>
    <w:rsid w:val="6E0472B5"/>
    <w:rsid w:val="6E34121C"/>
    <w:rsid w:val="6E583F79"/>
    <w:rsid w:val="6F725A48"/>
    <w:rsid w:val="710C764A"/>
    <w:rsid w:val="73736836"/>
    <w:rsid w:val="73B731C8"/>
    <w:rsid w:val="748C298A"/>
    <w:rsid w:val="74974D88"/>
    <w:rsid w:val="74B15375"/>
    <w:rsid w:val="76C0118A"/>
    <w:rsid w:val="7AAE6901"/>
    <w:rsid w:val="7D493F08"/>
    <w:rsid w:val="7DCC7728"/>
    <w:rsid w:val="7FF55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link w:val="17"/>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annotation reference"/>
    <w:basedOn w:val="9"/>
    <w:unhideWhenUsed/>
    <w:qFormat/>
    <w:uiPriority w:val="99"/>
    <w:rPr>
      <w:sz w:val="21"/>
      <w:szCs w:val="21"/>
    </w:rPr>
  </w:style>
  <w:style w:type="character" w:customStyle="1" w:styleId="12">
    <w:name w:val="标题 1 字符"/>
    <w:basedOn w:val="9"/>
    <w:link w:val="2"/>
    <w:qFormat/>
    <w:uiPriority w:val="9"/>
    <w:rPr>
      <w:b/>
      <w:bCs/>
      <w:kern w:val="44"/>
      <w:sz w:val="44"/>
      <w:szCs w:val="44"/>
    </w:rPr>
  </w:style>
  <w:style w:type="character" w:customStyle="1" w:styleId="13">
    <w:name w:val="页脚 字符"/>
    <w:basedOn w:val="9"/>
    <w:link w:val="5"/>
    <w:qFormat/>
    <w:uiPriority w:val="99"/>
    <w:rPr>
      <w:sz w:val="18"/>
      <w:szCs w:val="18"/>
    </w:rPr>
  </w:style>
  <w:style w:type="character" w:customStyle="1" w:styleId="14">
    <w:name w:val="页眉 字符"/>
    <w:basedOn w:val="9"/>
    <w:link w:val="6"/>
    <w:qFormat/>
    <w:uiPriority w:val="99"/>
    <w:rPr>
      <w:sz w:val="18"/>
      <w:szCs w:val="18"/>
    </w:rPr>
  </w:style>
  <w:style w:type="character" w:customStyle="1" w:styleId="15">
    <w:name w:val="font31"/>
    <w:basedOn w:val="9"/>
    <w:qFormat/>
    <w:uiPriority w:val="0"/>
    <w:rPr>
      <w:rFonts w:hint="eastAsia" w:ascii="仿宋_GB2312" w:eastAsia="仿宋_GB2312" w:cs="仿宋_GB2312"/>
      <w:color w:val="000000"/>
      <w:sz w:val="28"/>
      <w:szCs w:val="28"/>
      <w:u w:val="none"/>
    </w:rPr>
  </w:style>
  <w:style w:type="character" w:customStyle="1" w:styleId="16">
    <w:name w:val="font21"/>
    <w:basedOn w:val="9"/>
    <w:qFormat/>
    <w:uiPriority w:val="0"/>
    <w:rPr>
      <w:rFonts w:hint="eastAsia" w:ascii="仿宋_GB2312" w:eastAsia="仿宋_GB2312" w:cs="仿宋_GB2312"/>
      <w:b/>
      <w:bCs/>
      <w:color w:val="000000"/>
      <w:sz w:val="28"/>
      <w:szCs w:val="28"/>
      <w:u w:val="none"/>
    </w:rPr>
  </w:style>
  <w:style w:type="character" w:customStyle="1" w:styleId="17">
    <w:name w:val="批注框文本 字符"/>
    <w:basedOn w:val="9"/>
    <w:link w:val="4"/>
    <w:semiHidden/>
    <w:qFormat/>
    <w:uiPriority w:val="99"/>
    <w:rPr>
      <w:rFonts w:ascii="等线" w:hAnsi="等线" w:eastAsia="等线" w:cs="Times New Roman"/>
      <w:kern w:val="2"/>
      <w:sz w:val="18"/>
      <w:szCs w:val="18"/>
    </w:rPr>
  </w:style>
  <w:style w:type="paragraph" w:styleId="18">
    <w:name w:val="List Paragraph"/>
    <w:basedOn w:val="1"/>
    <w:qFormat/>
    <w:uiPriority w:val="34"/>
    <w:pPr>
      <w:ind w:left="704" w:hanging="420"/>
    </w:pPr>
    <w:rPr>
      <w:rFonts w:ascii="Times New Roman" w:hAnsi="Times New Roman" w:eastAsia="黑体"/>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xitongcheng</Company>
  <Pages>11</Pages>
  <Words>4757</Words>
  <Characters>4947</Characters>
  <Lines>33</Lines>
  <Paragraphs>9</Paragraphs>
  <TotalTime>156</TotalTime>
  <ScaleCrop>false</ScaleCrop>
  <LinksUpToDate>false</LinksUpToDate>
  <CharactersWithSpaces>4975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2026-07-28T10:35:00Z</dcterms:created>
  <dc:creator>Liu W</dc:creator>
  <cp:lastModifiedBy>JH</cp:lastModifiedBy>
  <dcterms:modified xsi:type="dcterms:W3CDTF">2026-08-27T06:43:41Z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653A38F17EE4407C8B30977D7C8EEA6F_13</vt:lpwstr>
  </property>
  <property fmtid="{D5CDD505-2E9C-101B-9397-08002B2CF9AE}" pid="4" name="KSOTemplateDocerSaveRecord">
    <vt:lpwstr>eyJoZGlkIjoiOTgxNzhhZWVjZDVjYzFiNzUyN2FlYmU1YTIwNTA2N2MiLCJ1c2VySWQiOiIxMTI2ODg3MDA2In0=</vt:lpwstr>
  </property>
</Properties>
</file>