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BEE028">
      <w:pPr>
        <w:pStyle w:val="11"/>
        <w:widowControl/>
        <w:numPr>
          <w:ilvl w:val="0"/>
          <w:numId w:val="0"/>
        </w:numPr>
        <w:spacing w:line="360" w:lineRule="auto"/>
        <w:ind w:leftChars="0"/>
        <w:jc w:val="left"/>
        <w:rPr>
          <w:rFonts w:hint="default" w:ascii="仿宋_GB2312" w:hAnsi="仿宋_GB2312" w:eastAsia="仿宋_GB2312" w:cs="仿宋_GB2312"/>
          <w:kern w:val="0"/>
          <w:sz w:val="28"/>
          <w:szCs w:val="28"/>
          <w:lang w:val="en-US" w:eastAsia="zh-CN"/>
        </w:rPr>
      </w:pPr>
    </w:p>
    <w:p w14:paraId="0E9F6E8F">
      <w:pPr>
        <w:pStyle w:val="11"/>
        <w:widowControl/>
        <w:numPr>
          <w:ilvl w:val="0"/>
          <w:numId w:val="0"/>
        </w:numPr>
        <w:spacing w:line="360" w:lineRule="auto"/>
        <w:ind w:leftChars="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项目名称</w:t>
      </w:r>
      <w:r>
        <w:rPr>
          <w:rFonts w:hint="eastAsia" w:ascii="仿宋_GB2312" w:hAnsi="仿宋_GB2312" w:eastAsia="仿宋_GB2312" w:cs="仿宋_GB2312"/>
          <w:kern w:val="0"/>
          <w:sz w:val="32"/>
          <w:szCs w:val="32"/>
          <w:lang w:val="en-US" w:eastAsia="zh-CN"/>
        </w:rPr>
        <w:t>：</w:t>
      </w:r>
    </w:p>
    <w:p w14:paraId="4ABDDBD8">
      <w:pPr>
        <w:pStyle w:val="11"/>
        <w:widowControl/>
        <w:numPr>
          <w:ilvl w:val="0"/>
          <w:numId w:val="0"/>
        </w:numPr>
        <w:spacing w:line="360" w:lineRule="auto"/>
        <w:ind w:leftChars="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项目编号：</w:t>
      </w:r>
    </w:p>
    <w:p w14:paraId="28C59BB4">
      <w:pPr>
        <w:pStyle w:val="11"/>
        <w:widowControl/>
        <w:numPr>
          <w:ilvl w:val="0"/>
          <w:numId w:val="0"/>
        </w:numPr>
        <w:spacing w:line="360" w:lineRule="auto"/>
        <w:ind w:leftChars="0"/>
        <w:jc w:val="left"/>
        <w:rPr>
          <w:rFonts w:hint="default" w:ascii="仿宋_GB2312" w:hAnsi="仿宋_GB2312" w:eastAsia="仿宋_GB2312" w:cs="仿宋_GB2312"/>
          <w:kern w:val="0"/>
          <w:sz w:val="36"/>
          <w:szCs w:val="36"/>
          <w:lang w:val="en-US" w:eastAsia="zh-CN"/>
        </w:rPr>
      </w:pPr>
      <w:r>
        <w:rPr>
          <w:rFonts w:hint="eastAsia" w:ascii="仿宋_GB2312" w:hAnsi="仿宋_GB2312" w:eastAsia="仿宋_GB2312" w:cs="仿宋_GB2312"/>
          <w:kern w:val="0"/>
          <w:sz w:val="32"/>
          <w:szCs w:val="32"/>
          <w:lang w:val="en-US" w:eastAsia="zh-CN"/>
        </w:rPr>
        <w:t>报名公司：</w:t>
      </w:r>
    </w:p>
    <w:p w14:paraId="05D77E92">
      <w:pPr>
        <w:pStyle w:val="11"/>
        <w:widowControl/>
        <w:numPr>
          <w:ilvl w:val="0"/>
          <w:numId w:val="0"/>
        </w:numPr>
        <w:spacing w:line="360" w:lineRule="auto"/>
        <w:ind w:leftChars="0"/>
        <w:jc w:val="left"/>
        <w:rPr>
          <w:rFonts w:hint="default" w:ascii="仿宋_GB2312" w:hAnsi="仿宋_GB2312" w:eastAsia="仿宋_GB2312" w:cs="仿宋_GB2312"/>
          <w:kern w:val="0"/>
          <w:sz w:val="28"/>
          <w:szCs w:val="28"/>
          <w:lang w:val="en-US" w:eastAsia="zh-CN"/>
        </w:rPr>
      </w:pPr>
    </w:p>
    <w:p w14:paraId="4ACD9CB5">
      <w:pPr>
        <w:spacing w:line="360" w:lineRule="auto"/>
        <w:jc w:val="center"/>
        <w:rPr>
          <w:rFonts w:hint="eastAsia" w:ascii="方正小标宋简体" w:hAnsi="方正小标宋简体" w:eastAsia="方正小标宋简体" w:cs="方正小标宋简体"/>
          <w:b/>
          <w:bCs/>
          <w:sz w:val="44"/>
          <w:szCs w:val="44"/>
        </w:rPr>
      </w:pPr>
    </w:p>
    <w:p w14:paraId="1500D3CB">
      <w:pPr>
        <w:spacing w:line="360" w:lineRule="auto"/>
        <w:jc w:val="center"/>
        <w:rPr>
          <w:rFonts w:hint="eastAsia" w:ascii="方正小标宋简体" w:hAnsi="方正小标宋简体" w:eastAsia="方正小标宋简体" w:cs="方正小标宋简体"/>
          <w:b/>
          <w:bCs/>
          <w:sz w:val="44"/>
          <w:szCs w:val="44"/>
        </w:rPr>
      </w:pPr>
    </w:p>
    <w:p w14:paraId="28F3DD01">
      <w:pPr>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br w:type="page"/>
      </w:r>
    </w:p>
    <w:sdt>
      <w:sdtPr>
        <w:rPr>
          <w:rFonts w:ascii="宋体" w:hAnsi="宋体" w:eastAsia="宋体" w:cs="Times New Roman"/>
          <w:kern w:val="2"/>
          <w:sz w:val="28"/>
          <w:szCs w:val="36"/>
          <w:lang w:val="en-US" w:eastAsia="zh-CN" w:bidi="ar-SA"/>
        </w:rPr>
        <w:id w:val="147451259"/>
        <w15:color w:val="DBDBDB"/>
        <w:docPartObj>
          <w:docPartGallery w:val="Table of Contents"/>
          <w:docPartUnique/>
        </w:docPartObj>
      </w:sdtPr>
      <w:sdtEndPr>
        <w:rPr>
          <w:rFonts w:hint="eastAsia" w:ascii="Times New Roman" w:hAnsi="Times New Roman" w:eastAsia="宋体" w:cs="Times New Roman"/>
          <w:kern w:val="2"/>
          <w:sz w:val="21"/>
          <w:szCs w:val="24"/>
          <w:lang w:val="en-US" w:eastAsia="zh-CN" w:bidi="ar-SA"/>
        </w:rPr>
      </w:sdtEndPr>
      <w:sdtContent>
        <w:p w14:paraId="653CD3B1">
          <w:pPr>
            <w:spacing w:before="0" w:beforeLines="0" w:after="0" w:afterLines="0" w:line="240" w:lineRule="auto"/>
            <w:ind w:left="0" w:leftChars="0" w:right="0" w:rightChars="0" w:firstLine="0" w:firstLineChars="0"/>
            <w:jc w:val="center"/>
            <w:rPr>
              <w:sz w:val="28"/>
              <w:szCs w:val="36"/>
            </w:rPr>
          </w:pPr>
          <w:r>
            <w:rPr>
              <w:rFonts w:ascii="宋体" w:hAnsi="宋体" w:eastAsia="宋体"/>
              <w:sz w:val="28"/>
              <w:szCs w:val="36"/>
            </w:rPr>
            <w:t>目录</w:t>
          </w:r>
        </w:p>
        <w:p w14:paraId="3E2A01A0">
          <w:pPr>
            <w:pStyle w:val="5"/>
            <w:tabs>
              <w:tab w:val="right" w:leader="dot" w:pos="8306"/>
            </w:tabs>
          </w:pPr>
          <w:r>
            <w:rPr>
              <w:rFonts w:hint="eastAsia"/>
              <w:sz w:val="28"/>
              <w:szCs w:val="36"/>
            </w:rPr>
            <w:fldChar w:fldCharType="begin"/>
          </w:r>
          <w:r>
            <w:rPr>
              <w:rFonts w:hint="eastAsia"/>
              <w:sz w:val="28"/>
              <w:szCs w:val="36"/>
            </w:rPr>
            <w:instrText xml:space="preserve">TOC \o "1-1" \h \u </w:instrText>
          </w:r>
          <w:r>
            <w:rPr>
              <w:rFonts w:hint="eastAsia"/>
              <w:sz w:val="28"/>
              <w:szCs w:val="36"/>
            </w:rPr>
            <w:fldChar w:fldCharType="separate"/>
          </w:r>
          <w:r>
            <w:rPr>
              <w:rFonts w:hint="eastAsia"/>
              <w:szCs w:val="36"/>
            </w:rPr>
            <w:fldChar w:fldCharType="begin"/>
          </w:r>
          <w:r>
            <w:rPr>
              <w:rFonts w:hint="eastAsia"/>
              <w:szCs w:val="36"/>
            </w:rPr>
            <w:instrText xml:space="preserve"> HYPERLINK \l _Toc15282 </w:instrText>
          </w:r>
          <w:r>
            <w:rPr>
              <w:rFonts w:hint="eastAsia"/>
              <w:szCs w:val="36"/>
            </w:rPr>
            <w:fldChar w:fldCharType="separate"/>
          </w:r>
          <w:r>
            <w:rPr>
              <w:rFonts w:hint="eastAsia"/>
              <w:lang w:val="en-US" w:eastAsia="zh-CN"/>
            </w:rPr>
            <w:t>项目资质</w:t>
          </w:r>
          <w:r>
            <w:tab/>
          </w:r>
          <w:r>
            <w:fldChar w:fldCharType="begin"/>
          </w:r>
          <w:r>
            <w:instrText xml:space="preserve"> PAGEREF _Toc15282 \h </w:instrText>
          </w:r>
          <w:r>
            <w:fldChar w:fldCharType="separate"/>
          </w:r>
          <w:r>
            <w:t>3</w:t>
          </w:r>
          <w:r>
            <w:fldChar w:fldCharType="end"/>
          </w:r>
          <w:r>
            <w:rPr>
              <w:rFonts w:hint="eastAsia"/>
              <w:szCs w:val="36"/>
            </w:rPr>
            <w:fldChar w:fldCharType="end"/>
          </w:r>
        </w:p>
        <w:p w14:paraId="2A229248">
          <w:pPr>
            <w:pStyle w:val="5"/>
            <w:tabs>
              <w:tab w:val="right" w:leader="dot" w:pos="8306"/>
            </w:tabs>
          </w:pPr>
          <w:r>
            <w:rPr>
              <w:rFonts w:hint="eastAsia"/>
              <w:szCs w:val="36"/>
            </w:rPr>
            <w:fldChar w:fldCharType="begin"/>
          </w:r>
          <w:r>
            <w:rPr>
              <w:rFonts w:hint="eastAsia"/>
              <w:szCs w:val="36"/>
            </w:rPr>
            <w:instrText xml:space="preserve"> HYPERLINK \l _Toc22179 </w:instrText>
          </w:r>
          <w:r>
            <w:rPr>
              <w:rFonts w:hint="eastAsia"/>
              <w:szCs w:val="36"/>
            </w:rPr>
            <w:fldChar w:fldCharType="separate"/>
          </w:r>
          <w:r>
            <w:t>技术偏离表及商务偏离表</w:t>
          </w:r>
          <w:r>
            <w:tab/>
          </w:r>
          <w:r>
            <w:fldChar w:fldCharType="begin"/>
          </w:r>
          <w:r>
            <w:instrText xml:space="preserve"> PAGEREF _Toc22179 \h </w:instrText>
          </w:r>
          <w:r>
            <w:fldChar w:fldCharType="separate"/>
          </w:r>
          <w:r>
            <w:t>4</w:t>
          </w:r>
          <w:r>
            <w:fldChar w:fldCharType="end"/>
          </w:r>
          <w:r>
            <w:rPr>
              <w:rFonts w:hint="eastAsia"/>
              <w:szCs w:val="36"/>
            </w:rPr>
            <w:fldChar w:fldCharType="end"/>
          </w:r>
        </w:p>
        <w:p w14:paraId="4F9B516B">
          <w:pPr>
            <w:pStyle w:val="5"/>
            <w:tabs>
              <w:tab w:val="right" w:leader="dot" w:pos="8306"/>
            </w:tabs>
          </w:pPr>
          <w:r>
            <w:rPr>
              <w:rFonts w:hint="eastAsia"/>
              <w:szCs w:val="36"/>
            </w:rPr>
            <w:fldChar w:fldCharType="begin"/>
          </w:r>
          <w:r>
            <w:rPr>
              <w:rFonts w:hint="eastAsia"/>
              <w:szCs w:val="36"/>
            </w:rPr>
            <w:instrText xml:space="preserve"> HYPERLINK \l _Toc22628 </w:instrText>
          </w:r>
          <w:r>
            <w:rPr>
              <w:rFonts w:hint="eastAsia"/>
              <w:szCs w:val="36"/>
            </w:rPr>
            <w:fldChar w:fldCharType="separate"/>
          </w:r>
          <w:r>
            <w:rPr>
              <w:rFonts w:hint="eastAsia"/>
            </w:rPr>
            <w:t>报价</w:t>
          </w:r>
          <w:r>
            <w:rPr>
              <w:rFonts w:hint="eastAsia"/>
              <w:lang w:val="en-US" w:eastAsia="zh-CN"/>
            </w:rPr>
            <w:t>单</w:t>
          </w:r>
          <w:r>
            <w:tab/>
          </w:r>
          <w:r>
            <w:fldChar w:fldCharType="begin"/>
          </w:r>
          <w:r>
            <w:instrText xml:space="preserve"> PAGEREF _Toc22628 \h </w:instrText>
          </w:r>
          <w:r>
            <w:fldChar w:fldCharType="separate"/>
          </w:r>
          <w:r>
            <w:t>5</w:t>
          </w:r>
          <w:r>
            <w:fldChar w:fldCharType="end"/>
          </w:r>
          <w:r>
            <w:rPr>
              <w:rFonts w:hint="eastAsia"/>
              <w:szCs w:val="36"/>
            </w:rPr>
            <w:fldChar w:fldCharType="end"/>
          </w:r>
        </w:p>
        <w:p w14:paraId="32C39009">
          <w:pPr>
            <w:pStyle w:val="5"/>
            <w:tabs>
              <w:tab w:val="right" w:leader="dot" w:pos="8306"/>
            </w:tabs>
          </w:pPr>
          <w:r>
            <w:rPr>
              <w:rFonts w:hint="eastAsia"/>
              <w:szCs w:val="36"/>
            </w:rPr>
            <w:fldChar w:fldCharType="begin"/>
          </w:r>
          <w:r>
            <w:rPr>
              <w:rFonts w:hint="eastAsia"/>
              <w:szCs w:val="36"/>
            </w:rPr>
            <w:instrText xml:space="preserve"> HYPERLINK \l _Toc7122 </w:instrText>
          </w:r>
          <w:r>
            <w:rPr>
              <w:rFonts w:hint="eastAsia"/>
              <w:szCs w:val="36"/>
            </w:rPr>
            <w:fldChar w:fldCharType="separate"/>
          </w:r>
          <w:r>
            <w:rPr>
              <w:rFonts w:hint="eastAsia"/>
              <w:lang w:val="en-US" w:eastAsia="zh-CN"/>
            </w:rPr>
            <w:t>履约承诺函</w:t>
          </w:r>
          <w:r>
            <w:tab/>
          </w:r>
          <w:r>
            <w:fldChar w:fldCharType="begin"/>
          </w:r>
          <w:r>
            <w:instrText xml:space="preserve"> PAGEREF _Toc7122 \h </w:instrText>
          </w:r>
          <w:r>
            <w:fldChar w:fldCharType="separate"/>
          </w:r>
          <w:r>
            <w:t>6</w:t>
          </w:r>
          <w:r>
            <w:fldChar w:fldCharType="end"/>
          </w:r>
          <w:r>
            <w:rPr>
              <w:rFonts w:hint="eastAsia"/>
              <w:szCs w:val="36"/>
            </w:rPr>
            <w:fldChar w:fldCharType="end"/>
          </w:r>
        </w:p>
        <w:p w14:paraId="6D96EDE6">
          <w:pPr>
            <w:rPr>
              <w:rFonts w:hint="eastAsia" w:ascii="Times New Roman" w:hAnsi="Times New Roman" w:eastAsia="宋体" w:cs="Times New Roman"/>
              <w:kern w:val="2"/>
              <w:sz w:val="21"/>
              <w:szCs w:val="24"/>
              <w:lang w:val="en-US" w:eastAsia="zh-CN" w:bidi="ar-SA"/>
            </w:rPr>
          </w:pPr>
          <w:r>
            <w:rPr>
              <w:rFonts w:hint="eastAsia"/>
              <w:szCs w:val="36"/>
            </w:rPr>
            <w:fldChar w:fldCharType="end"/>
          </w:r>
        </w:p>
      </w:sdtContent>
    </w:sdt>
    <w:p w14:paraId="7778DF2B">
      <w:pPr>
        <w:rPr>
          <w:rFonts w:hint="eastAsia"/>
          <w:lang w:val="en-US" w:eastAsia="zh-CN"/>
        </w:rPr>
      </w:pPr>
      <w:r>
        <w:rPr>
          <w:rFonts w:hint="eastAsia"/>
          <w:lang w:val="en-US" w:eastAsia="zh-CN"/>
        </w:rPr>
        <w:br w:type="page"/>
      </w:r>
    </w:p>
    <w:p w14:paraId="6FC8E8AE">
      <w:pPr>
        <w:pStyle w:val="3"/>
        <w:bidi w:val="0"/>
        <w:rPr>
          <w:rFonts w:hint="eastAsia"/>
          <w:lang w:val="en-US" w:eastAsia="zh-CN"/>
        </w:rPr>
      </w:pPr>
      <w:bookmarkStart w:id="0" w:name="_Toc15282"/>
      <w:r>
        <w:rPr>
          <w:rFonts w:hint="eastAsia"/>
          <w:lang w:val="en-US" w:eastAsia="zh-CN"/>
        </w:rPr>
        <w:t>项目资质</w:t>
      </w:r>
      <w:bookmarkEnd w:id="0"/>
    </w:p>
    <w:p w14:paraId="51CED162">
      <w:pPr>
        <w:rPr>
          <w:rFonts w:hint="eastAsia"/>
          <w:lang w:val="en-US" w:eastAsia="zh-CN"/>
        </w:rPr>
      </w:pPr>
      <w:r>
        <w:rPr>
          <w:rFonts w:hint="eastAsia"/>
          <w:lang w:val="en-US" w:eastAsia="zh-CN"/>
        </w:rPr>
        <w:br w:type="page"/>
      </w:r>
    </w:p>
    <w:p w14:paraId="701CBD53">
      <w:pPr>
        <w:pStyle w:val="3"/>
        <w:bidi w:val="0"/>
      </w:pPr>
      <w:bookmarkStart w:id="1" w:name="_Toc22179"/>
      <w:r>
        <w:t>技术偏离表及商务偏离表</w:t>
      </w:r>
      <w:bookmarkEnd w:id="1"/>
    </w:p>
    <w:tbl>
      <w:tblPr>
        <w:tblStyle w:val="6"/>
        <w:tblW w:w="89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16"/>
        <w:gridCol w:w="2316"/>
        <w:gridCol w:w="1730"/>
        <w:gridCol w:w="1730"/>
      </w:tblGrid>
      <w:tr w14:paraId="5A092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581B1054">
            <w:pPr>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序号</w:t>
            </w:r>
          </w:p>
        </w:tc>
        <w:tc>
          <w:tcPr>
            <w:tcW w:w="2316" w:type="dxa"/>
          </w:tcPr>
          <w:p w14:paraId="0906CD3A">
            <w:pPr>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lang w:val="en-US" w:eastAsia="zh-CN"/>
              </w:rPr>
              <w:t>采购</w:t>
            </w:r>
            <w:r>
              <w:rPr>
                <w:rFonts w:hint="eastAsia" w:asciiTheme="minorEastAsia" w:hAnsiTheme="minorEastAsia" w:eastAsiaTheme="minorEastAsia" w:cstheme="minorEastAsia"/>
                <w:szCs w:val="21"/>
              </w:rPr>
              <w:t>文件商务条款</w:t>
            </w:r>
          </w:p>
        </w:tc>
        <w:tc>
          <w:tcPr>
            <w:tcW w:w="2316" w:type="dxa"/>
          </w:tcPr>
          <w:p w14:paraId="528DE58C">
            <w:pPr>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lang w:val="en-US" w:eastAsia="zh-CN"/>
              </w:rPr>
              <w:t>响应</w:t>
            </w:r>
            <w:r>
              <w:rPr>
                <w:rFonts w:hint="eastAsia" w:asciiTheme="minorEastAsia" w:hAnsiTheme="minorEastAsia" w:eastAsiaTheme="minorEastAsia" w:cstheme="minorEastAsia"/>
                <w:szCs w:val="21"/>
              </w:rPr>
              <w:t>文件商务条款</w:t>
            </w:r>
          </w:p>
        </w:tc>
        <w:tc>
          <w:tcPr>
            <w:tcW w:w="1730" w:type="dxa"/>
          </w:tcPr>
          <w:p w14:paraId="4EF57117">
            <w:pPr>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偏离情况</w:t>
            </w:r>
          </w:p>
        </w:tc>
        <w:tc>
          <w:tcPr>
            <w:tcW w:w="1730" w:type="dxa"/>
          </w:tcPr>
          <w:p w14:paraId="0BA2D5DC">
            <w:pPr>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说明</w:t>
            </w:r>
          </w:p>
        </w:tc>
      </w:tr>
      <w:tr w14:paraId="212AC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5E0B0DAD">
            <w:pPr>
              <w:spacing w:line="360" w:lineRule="auto"/>
              <w:jc w:val="center"/>
              <w:rPr>
                <w:rFonts w:hint="eastAsia" w:asciiTheme="minorEastAsia" w:hAnsiTheme="minorEastAsia" w:eastAsiaTheme="minorEastAsia" w:cstheme="minorEastAsia"/>
                <w:szCs w:val="21"/>
              </w:rPr>
            </w:pPr>
          </w:p>
        </w:tc>
        <w:tc>
          <w:tcPr>
            <w:tcW w:w="2316" w:type="dxa"/>
          </w:tcPr>
          <w:p w14:paraId="047C0BB7">
            <w:pPr>
              <w:spacing w:line="360" w:lineRule="auto"/>
              <w:jc w:val="center"/>
              <w:rPr>
                <w:rFonts w:hint="eastAsia" w:asciiTheme="minorEastAsia" w:hAnsiTheme="minorEastAsia" w:eastAsiaTheme="minorEastAsia" w:cstheme="minorEastAsia"/>
                <w:szCs w:val="21"/>
              </w:rPr>
            </w:pPr>
          </w:p>
        </w:tc>
        <w:tc>
          <w:tcPr>
            <w:tcW w:w="2316" w:type="dxa"/>
          </w:tcPr>
          <w:p w14:paraId="1B4AC163">
            <w:pPr>
              <w:spacing w:line="360" w:lineRule="auto"/>
              <w:jc w:val="center"/>
              <w:rPr>
                <w:rFonts w:hint="eastAsia" w:asciiTheme="minorEastAsia" w:hAnsiTheme="minorEastAsia" w:eastAsiaTheme="minorEastAsia" w:cstheme="minorEastAsia"/>
                <w:szCs w:val="21"/>
              </w:rPr>
            </w:pPr>
          </w:p>
        </w:tc>
        <w:tc>
          <w:tcPr>
            <w:tcW w:w="1730" w:type="dxa"/>
          </w:tcPr>
          <w:p w14:paraId="17EAFA15">
            <w:pPr>
              <w:spacing w:line="360" w:lineRule="auto"/>
              <w:jc w:val="center"/>
              <w:rPr>
                <w:rFonts w:hint="eastAsia" w:asciiTheme="minorEastAsia" w:hAnsiTheme="minorEastAsia" w:eastAsiaTheme="minorEastAsia" w:cstheme="minorEastAsia"/>
                <w:szCs w:val="21"/>
              </w:rPr>
            </w:pPr>
          </w:p>
        </w:tc>
        <w:tc>
          <w:tcPr>
            <w:tcW w:w="1730" w:type="dxa"/>
          </w:tcPr>
          <w:p w14:paraId="49698AFE">
            <w:pPr>
              <w:spacing w:line="360" w:lineRule="auto"/>
              <w:jc w:val="center"/>
              <w:rPr>
                <w:rFonts w:hint="eastAsia" w:asciiTheme="minorEastAsia" w:hAnsiTheme="minorEastAsia" w:eastAsiaTheme="minorEastAsia" w:cstheme="minorEastAsia"/>
                <w:szCs w:val="21"/>
              </w:rPr>
            </w:pPr>
          </w:p>
        </w:tc>
      </w:tr>
      <w:tr w14:paraId="5CB5E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7DA8DA9D">
            <w:pPr>
              <w:spacing w:line="360" w:lineRule="auto"/>
              <w:jc w:val="center"/>
              <w:rPr>
                <w:rFonts w:hint="eastAsia" w:asciiTheme="minorEastAsia" w:hAnsiTheme="minorEastAsia" w:eastAsiaTheme="minorEastAsia" w:cstheme="minorEastAsia"/>
                <w:szCs w:val="21"/>
              </w:rPr>
            </w:pPr>
          </w:p>
        </w:tc>
        <w:tc>
          <w:tcPr>
            <w:tcW w:w="2316" w:type="dxa"/>
          </w:tcPr>
          <w:p w14:paraId="1A0CC155">
            <w:pPr>
              <w:spacing w:line="360" w:lineRule="auto"/>
              <w:jc w:val="center"/>
              <w:rPr>
                <w:rFonts w:hint="eastAsia" w:asciiTheme="minorEastAsia" w:hAnsiTheme="minorEastAsia" w:eastAsiaTheme="minorEastAsia" w:cstheme="minorEastAsia"/>
                <w:szCs w:val="21"/>
              </w:rPr>
            </w:pPr>
          </w:p>
        </w:tc>
        <w:tc>
          <w:tcPr>
            <w:tcW w:w="2316" w:type="dxa"/>
          </w:tcPr>
          <w:p w14:paraId="1E3CA4BD">
            <w:pPr>
              <w:spacing w:line="360" w:lineRule="auto"/>
              <w:jc w:val="center"/>
              <w:rPr>
                <w:rFonts w:hint="eastAsia" w:asciiTheme="minorEastAsia" w:hAnsiTheme="minorEastAsia" w:eastAsiaTheme="minorEastAsia" w:cstheme="minorEastAsia"/>
                <w:szCs w:val="21"/>
              </w:rPr>
            </w:pPr>
          </w:p>
        </w:tc>
        <w:tc>
          <w:tcPr>
            <w:tcW w:w="1730" w:type="dxa"/>
          </w:tcPr>
          <w:p w14:paraId="74FDD412">
            <w:pPr>
              <w:spacing w:line="360" w:lineRule="auto"/>
              <w:jc w:val="center"/>
              <w:rPr>
                <w:rFonts w:hint="eastAsia" w:asciiTheme="minorEastAsia" w:hAnsiTheme="minorEastAsia" w:eastAsiaTheme="minorEastAsia" w:cstheme="minorEastAsia"/>
                <w:szCs w:val="21"/>
              </w:rPr>
            </w:pPr>
          </w:p>
        </w:tc>
        <w:tc>
          <w:tcPr>
            <w:tcW w:w="1730" w:type="dxa"/>
          </w:tcPr>
          <w:p w14:paraId="277C7B2C">
            <w:pPr>
              <w:spacing w:line="360" w:lineRule="auto"/>
              <w:jc w:val="center"/>
              <w:rPr>
                <w:rFonts w:hint="eastAsia" w:asciiTheme="minorEastAsia" w:hAnsiTheme="minorEastAsia" w:eastAsiaTheme="minorEastAsia" w:cstheme="minorEastAsia"/>
                <w:szCs w:val="21"/>
              </w:rPr>
            </w:pPr>
          </w:p>
        </w:tc>
      </w:tr>
      <w:tr w14:paraId="69ED7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26E6D380">
            <w:pPr>
              <w:spacing w:line="360" w:lineRule="auto"/>
              <w:jc w:val="center"/>
              <w:rPr>
                <w:rFonts w:hint="eastAsia" w:asciiTheme="minorEastAsia" w:hAnsiTheme="minorEastAsia" w:eastAsiaTheme="minorEastAsia" w:cstheme="minorEastAsia"/>
                <w:szCs w:val="21"/>
              </w:rPr>
            </w:pPr>
          </w:p>
        </w:tc>
        <w:tc>
          <w:tcPr>
            <w:tcW w:w="2316" w:type="dxa"/>
          </w:tcPr>
          <w:p w14:paraId="1358CF5D">
            <w:pPr>
              <w:spacing w:line="360" w:lineRule="auto"/>
              <w:jc w:val="center"/>
              <w:rPr>
                <w:rFonts w:hint="eastAsia" w:asciiTheme="minorEastAsia" w:hAnsiTheme="minorEastAsia" w:eastAsiaTheme="minorEastAsia" w:cstheme="minorEastAsia"/>
                <w:szCs w:val="21"/>
              </w:rPr>
            </w:pPr>
          </w:p>
        </w:tc>
        <w:tc>
          <w:tcPr>
            <w:tcW w:w="2316" w:type="dxa"/>
          </w:tcPr>
          <w:p w14:paraId="03826F63">
            <w:pPr>
              <w:spacing w:line="360" w:lineRule="auto"/>
              <w:jc w:val="center"/>
              <w:rPr>
                <w:rFonts w:hint="eastAsia" w:asciiTheme="minorEastAsia" w:hAnsiTheme="minorEastAsia" w:eastAsiaTheme="minorEastAsia" w:cstheme="minorEastAsia"/>
                <w:szCs w:val="21"/>
              </w:rPr>
            </w:pPr>
          </w:p>
        </w:tc>
        <w:tc>
          <w:tcPr>
            <w:tcW w:w="1730" w:type="dxa"/>
          </w:tcPr>
          <w:p w14:paraId="4F4F72E5">
            <w:pPr>
              <w:spacing w:line="360" w:lineRule="auto"/>
              <w:jc w:val="center"/>
              <w:rPr>
                <w:rFonts w:hint="eastAsia" w:asciiTheme="minorEastAsia" w:hAnsiTheme="minorEastAsia" w:eastAsiaTheme="minorEastAsia" w:cstheme="minorEastAsia"/>
                <w:szCs w:val="21"/>
              </w:rPr>
            </w:pPr>
          </w:p>
        </w:tc>
        <w:tc>
          <w:tcPr>
            <w:tcW w:w="1730" w:type="dxa"/>
          </w:tcPr>
          <w:p w14:paraId="38029AD5">
            <w:pPr>
              <w:spacing w:line="360" w:lineRule="auto"/>
              <w:jc w:val="center"/>
              <w:rPr>
                <w:rFonts w:hint="eastAsia" w:asciiTheme="minorEastAsia" w:hAnsiTheme="minorEastAsia" w:eastAsiaTheme="minorEastAsia" w:cstheme="minorEastAsia"/>
                <w:szCs w:val="21"/>
              </w:rPr>
            </w:pPr>
          </w:p>
        </w:tc>
      </w:tr>
      <w:tr w14:paraId="72DCB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A07752C">
            <w:pPr>
              <w:spacing w:line="360" w:lineRule="auto"/>
              <w:jc w:val="center"/>
              <w:rPr>
                <w:rFonts w:hint="eastAsia" w:asciiTheme="minorEastAsia" w:hAnsiTheme="minorEastAsia" w:eastAsiaTheme="minorEastAsia" w:cstheme="minorEastAsia"/>
                <w:szCs w:val="21"/>
              </w:rPr>
            </w:pPr>
          </w:p>
        </w:tc>
        <w:tc>
          <w:tcPr>
            <w:tcW w:w="2316" w:type="dxa"/>
          </w:tcPr>
          <w:p w14:paraId="7932D5A0">
            <w:pPr>
              <w:spacing w:line="360" w:lineRule="auto"/>
              <w:jc w:val="center"/>
              <w:rPr>
                <w:rFonts w:hint="eastAsia" w:asciiTheme="minorEastAsia" w:hAnsiTheme="minorEastAsia" w:eastAsiaTheme="minorEastAsia" w:cstheme="minorEastAsia"/>
                <w:szCs w:val="21"/>
              </w:rPr>
            </w:pPr>
          </w:p>
        </w:tc>
        <w:tc>
          <w:tcPr>
            <w:tcW w:w="2316" w:type="dxa"/>
          </w:tcPr>
          <w:p w14:paraId="4A008C4C">
            <w:pPr>
              <w:spacing w:line="360" w:lineRule="auto"/>
              <w:jc w:val="center"/>
              <w:rPr>
                <w:rFonts w:hint="eastAsia" w:asciiTheme="minorEastAsia" w:hAnsiTheme="minorEastAsia" w:eastAsiaTheme="minorEastAsia" w:cstheme="minorEastAsia"/>
                <w:szCs w:val="21"/>
              </w:rPr>
            </w:pPr>
          </w:p>
        </w:tc>
        <w:tc>
          <w:tcPr>
            <w:tcW w:w="1730" w:type="dxa"/>
          </w:tcPr>
          <w:p w14:paraId="7A3819F4">
            <w:pPr>
              <w:spacing w:line="360" w:lineRule="auto"/>
              <w:jc w:val="center"/>
              <w:rPr>
                <w:rFonts w:hint="eastAsia" w:asciiTheme="minorEastAsia" w:hAnsiTheme="minorEastAsia" w:eastAsiaTheme="minorEastAsia" w:cstheme="minorEastAsia"/>
                <w:szCs w:val="21"/>
              </w:rPr>
            </w:pPr>
          </w:p>
        </w:tc>
        <w:tc>
          <w:tcPr>
            <w:tcW w:w="1730" w:type="dxa"/>
          </w:tcPr>
          <w:p w14:paraId="47C7462D">
            <w:pPr>
              <w:spacing w:line="360" w:lineRule="auto"/>
              <w:jc w:val="center"/>
              <w:rPr>
                <w:rFonts w:hint="eastAsia" w:asciiTheme="minorEastAsia" w:hAnsiTheme="minorEastAsia" w:eastAsiaTheme="minorEastAsia" w:cstheme="minorEastAsia"/>
                <w:szCs w:val="21"/>
              </w:rPr>
            </w:pPr>
          </w:p>
        </w:tc>
      </w:tr>
      <w:tr w14:paraId="42EA0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491D6A5A">
            <w:pPr>
              <w:spacing w:line="360" w:lineRule="auto"/>
              <w:jc w:val="center"/>
              <w:rPr>
                <w:rFonts w:hint="eastAsia" w:asciiTheme="minorEastAsia" w:hAnsiTheme="minorEastAsia" w:eastAsiaTheme="minorEastAsia" w:cstheme="minorEastAsia"/>
                <w:szCs w:val="21"/>
              </w:rPr>
            </w:pPr>
          </w:p>
        </w:tc>
        <w:tc>
          <w:tcPr>
            <w:tcW w:w="2316" w:type="dxa"/>
          </w:tcPr>
          <w:p w14:paraId="6C8B0AB2">
            <w:pPr>
              <w:spacing w:line="360" w:lineRule="auto"/>
              <w:jc w:val="center"/>
              <w:rPr>
                <w:rFonts w:hint="eastAsia" w:asciiTheme="minorEastAsia" w:hAnsiTheme="minorEastAsia" w:eastAsiaTheme="minorEastAsia" w:cstheme="minorEastAsia"/>
                <w:szCs w:val="21"/>
              </w:rPr>
            </w:pPr>
          </w:p>
        </w:tc>
        <w:tc>
          <w:tcPr>
            <w:tcW w:w="2316" w:type="dxa"/>
          </w:tcPr>
          <w:p w14:paraId="7DAA197D">
            <w:pPr>
              <w:spacing w:line="360" w:lineRule="auto"/>
              <w:jc w:val="center"/>
              <w:rPr>
                <w:rFonts w:hint="eastAsia" w:asciiTheme="minorEastAsia" w:hAnsiTheme="minorEastAsia" w:eastAsiaTheme="minorEastAsia" w:cstheme="minorEastAsia"/>
                <w:szCs w:val="21"/>
              </w:rPr>
            </w:pPr>
          </w:p>
        </w:tc>
        <w:tc>
          <w:tcPr>
            <w:tcW w:w="1730" w:type="dxa"/>
          </w:tcPr>
          <w:p w14:paraId="7C0FB141">
            <w:pPr>
              <w:spacing w:line="360" w:lineRule="auto"/>
              <w:jc w:val="center"/>
              <w:rPr>
                <w:rFonts w:hint="eastAsia" w:asciiTheme="minorEastAsia" w:hAnsiTheme="minorEastAsia" w:eastAsiaTheme="minorEastAsia" w:cstheme="minorEastAsia"/>
                <w:szCs w:val="21"/>
              </w:rPr>
            </w:pPr>
          </w:p>
        </w:tc>
        <w:tc>
          <w:tcPr>
            <w:tcW w:w="1730" w:type="dxa"/>
          </w:tcPr>
          <w:p w14:paraId="4CC846D1">
            <w:pPr>
              <w:spacing w:line="360" w:lineRule="auto"/>
              <w:jc w:val="center"/>
              <w:rPr>
                <w:rFonts w:hint="eastAsia" w:asciiTheme="minorEastAsia" w:hAnsiTheme="minorEastAsia" w:eastAsiaTheme="minorEastAsia" w:cstheme="minorEastAsia"/>
                <w:szCs w:val="21"/>
              </w:rPr>
            </w:pPr>
          </w:p>
        </w:tc>
      </w:tr>
      <w:tr w14:paraId="1D66B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0E7A0B59">
            <w:pPr>
              <w:spacing w:line="360" w:lineRule="auto"/>
              <w:jc w:val="center"/>
              <w:rPr>
                <w:rFonts w:hint="eastAsia" w:asciiTheme="minorEastAsia" w:hAnsiTheme="minorEastAsia" w:eastAsiaTheme="minorEastAsia" w:cstheme="minorEastAsia"/>
                <w:szCs w:val="21"/>
              </w:rPr>
            </w:pPr>
          </w:p>
        </w:tc>
        <w:tc>
          <w:tcPr>
            <w:tcW w:w="2316" w:type="dxa"/>
          </w:tcPr>
          <w:p w14:paraId="19AF58A8">
            <w:pPr>
              <w:spacing w:line="360" w:lineRule="auto"/>
              <w:jc w:val="center"/>
              <w:rPr>
                <w:rFonts w:hint="eastAsia" w:asciiTheme="minorEastAsia" w:hAnsiTheme="minorEastAsia" w:eastAsiaTheme="minorEastAsia" w:cstheme="minorEastAsia"/>
                <w:szCs w:val="21"/>
              </w:rPr>
            </w:pPr>
          </w:p>
        </w:tc>
        <w:tc>
          <w:tcPr>
            <w:tcW w:w="2316" w:type="dxa"/>
          </w:tcPr>
          <w:p w14:paraId="6B19DB02">
            <w:pPr>
              <w:spacing w:line="360" w:lineRule="auto"/>
              <w:jc w:val="center"/>
              <w:rPr>
                <w:rFonts w:hint="eastAsia" w:asciiTheme="minorEastAsia" w:hAnsiTheme="minorEastAsia" w:eastAsiaTheme="minorEastAsia" w:cstheme="minorEastAsia"/>
                <w:szCs w:val="21"/>
              </w:rPr>
            </w:pPr>
          </w:p>
        </w:tc>
        <w:tc>
          <w:tcPr>
            <w:tcW w:w="1730" w:type="dxa"/>
          </w:tcPr>
          <w:p w14:paraId="2803656C">
            <w:pPr>
              <w:spacing w:line="360" w:lineRule="auto"/>
              <w:jc w:val="center"/>
              <w:rPr>
                <w:rFonts w:hint="eastAsia" w:asciiTheme="minorEastAsia" w:hAnsiTheme="minorEastAsia" w:eastAsiaTheme="minorEastAsia" w:cstheme="minorEastAsia"/>
                <w:szCs w:val="21"/>
              </w:rPr>
            </w:pPr>
          </w:p>
        </w:tc>
        <w:tc>
          <w:tcPr>
            <w:tcW w:w="1730" w:type="dxa"/>
          </w:tcPr>
          <w:p w14:paraId="383099E7">
            <w:pPr>
              <w:spacing w:line="360" w:lineRule="auto"/>
              <w:jc w:val="center"/>
              <w:rPr>
                <w:rFonts w:hint="eastAsia" w:asciiTheme="minorEastAsia" w:hAnsiTheme="minorEastAsia" w:eastAsiaTheme="minorEastAsia" w:cstheme="minorEastAsia"/>
                <w:szCs w:val="21"/>
              </w:rPr>
            </w:pPr>
          </w:p>
        </w:tc>
      </w:tr>
    </w:tbl>
    <w:p w14:paraId="7FD4A285">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1.“偏离情况”栏中应填写“正偏离”、“负偏离”或“无偏离”。</w:t>
      </w:r>
    </w:p>
    <w:p w14:paraId="2D68BEA5">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r>
        <w:rPr>
          <w:rFonts w:hint="eastAsia" w:asciiTheme="minorEastAsia" w:hAnsiTheme="minorEastAsia" w:eastAsiaTheme="minorEastAsia" w:cstheme="minorEastAsia"/>
          <w:szCs w:val="21"/>
          <w:lang w:val="en-US" w:eastAsia="zh-CN"/>
        </w:rPr>
        <w:t>响应</w:t>
      </w:r>
      <w:r>
        <w:rPr>
          <w:rFonts w:hint="eastAsia" w:asciiTheme="minorEastAsia" w:hAnsiTheme="minorEastAsia" w:eastAsiaTheme="minorEastAsia" w:cstheme="minorEastAsia"/>
          <w:szCs w:val="21"/>
        </w:rPr>
        <w:t>文件商务条款”一栏必须详细填写投标商务条款的主要内容摘要。</w:t>
      </w:r>
    </w:p>
    <w:p w14:paraId="00919D11">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 交货期条款为不可负偏离条款，</w:t>
      </w:r>
      <w:r>
        <w:rPr>
          <w:rFonts w:hint="eastAsia" w:asciiTheme="minorEastAsia" w:hAnsiTheme="minorEastAsia" w:eastAsiaTheme="minorEastAsia" w:cstheme="minorEastAsia"/>
          <w:szCs w:val="21"/>
          <w:lang w:val="en-US" w:eastAsia="zh-CN"/>
        </w:rPr>
        <w:t>响应</w:t>
      </w:r>
      <w:r>
        <w:rPr>
          <w:rFonts w:hint="eastAsia" w:asciiTheme="minorEastAsia" w:hAnsiTheme="minorEastAsia" w:eastAsiaTheme="minorEastAsia" w:cstheme="minorEastAsia"/>
          <w:szCs w:val="21"/>
        </w:rPr>
        <w:t>文件响应为“负偏离”的，</w:t>
      </w:r>
      <w:r>
        <w:rPr>
          <w:rFonts w:hint="eastAsia" w:asciiTheme="minorEastAsia" w:hAnsiTheme="minorEastAsia" w:eastAsiaTheme="minorEastAsia" w:cstheme="minorEastAsia"/>
          <w:szCs w:val="21"/>
          <w:lang w:val="en-US" w:eastAsia="zh-CN"/>
        </w:rPr>
        <w:t>报价文件</w:t>
      </w:r>
      <w:r>
        <w:rPr>
          <w:rFonts w:hint="eastAsia" w:asciiTheme="minorEastAsia" w:hAnsiTheme="minorEastAsia" w:eastAsiaTheme="minorEastAsia" w:cstheme="minorEastAsia"/>
          <w:szCs w:val="21"/>
        </w:rPr>
        <w:t>将</w:t>
      </w:r>
      <w:r>
        <w:rPr>
          <w:rFonts w:hint="eastAsia" w:asciiTheme="minorEastAsia" w:hAnsiTheme="minorEastAsia" w:eastAsiaTheme="minorEastAsia" w:cstheme="minorEastAsia"/>
          <w:szCs w:val="21"/>
          <w:lang w:val="en-US" w:eastAsia="zh-CN"/>
        </w:rPr>
        <w:t>视为无效报名</w:t>
      </w:r>
      <w:r>
        <w:rPr>
          <w:rFonts w:hint="eastAsia" w:asciiTheme="minorEastAsia" w:hAnsiTheme="minorEastAsia" w:eastAsiaTheme="minorEastAsia" w:cstheme="minorEastAsia"/>
          <w:szCs w:val="21"/>
        </w:rPr>
        <w:t>。</w:t>
      </w:r>
    </w:p>
    <w:p w14:paraId="5ACC6DE7">
      <w:pPr>
        <w:spacing w:line="360" w:lineRule="auto"/>
        <w:ind w:left="630" w:leftChars="200" w:hanging="210" w:hangingChars="1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lang w:val="en-US" w:eastAsia="zh-CN"/>
        </w:rPr>
        <w:t>4</w:t>
      </w:r>
      <w:r>
        <w:rPr>
          <w:rFonts w:hint="eastAsia" w:asciiTheme="minorEastAsia" w:hAnsiTheme="minorEastAsia" w:eastAsiaTheme="minorEastAsia" w:cstheme="minorEastAsia"/>
          <w:szCs w:val="21"/>
        </w:rPr>
        <w:t xml:space="preserve"> </w:t>
      </w:r>
      <w:r>
        <w:rPr>
          <w:rFonts w:hint="eastAsia" w:asciiTheme="minorEastAsia" w:hAnsiTheme="minorEastAsia" w:eastAsiaTheme="minorEastAsia" w:cstheme="minorEastAsia"/>
          <w:szCs w:val="21"/>
          <w:lang w:val="en-US" w:eastAsia="zh-CN"/>
        </w:rPr>
        <w:t>报价单</w:t>
      </w:r>
      <w:r>
        <w:rPr>
          <w:rFonts w:hint="eastAsia" w:asciiTheme="minorEastAsia" w:hAnsiTheme="minorEastAsia" w:eastAsiaTheme="minorEastAsia" w:cstheme="minorEastAsia"/>
          <w:szCs w:val="21"/>
        </w:rPr>
        <w:t>中填写的“交货期”必须与本表填写的“交货期”一致。如填写不一致，以</w:t>
      </w:r>
      <w:r>
        <w:rPr>
          <w:rFonts w:hint="eastAsia" w:asciiTheme="minorEastAsia" w:hAnsiTheme="minorEastAsia" w:eastAsiaTheme="minorEastAsia" w:cstheme="minorEastAsia"/>
          <w:szCs w:val="21"/>
          <w:lang w:val="en-US" w:eastAsia="zh-CN"/>
        </w:rPr>
        <w:t>报价单</w:t>
      </w:r>
      <w:r>
        <w:rPr>
          <w:rFonts w:hint="eastAsia" w:asciiTheme="minorEastAsia" w:hAnsiTheme="minorEastAsia" w:eastAsiaTheme="minorEastAsia" w:cstheme="minorEastAsia"/>
          <w:szCs w:val="21"/>
        </w:rPr>
        <w:t>填写的“交货期”为准。</w:t>
      </w:r>
    </w:p>
    <w:p w14:paraId="34EF93CC">
      <w:pPr>
        <w:rPr>
          <w:rFonts w:hint="eastAsia"/>
        </w:rPr>
      </w:pPr>
      <w:r>
        <w:rPr>
          <w:rFonts w:hint="eastAsia"/>
        </w:rPr>
        <w:br w:type="page"/>
      </w:r>
    </w:p>
    <w:p w14:paraId="6688241C">
      <w:pPr>
        <w:pStyle w:val="3"/>
        <w:bidi w:val="0"/>
        <w:jc w:val="center"/>
        <w:rPr>
          <w:rFonts w:hint="eastAsia"/>
          <w:lang w:val="en-US" w:eastAsia="zh-CN"/>
        </w:rPr>
      </w:pPr>
      <w:bookmarkStart w:id="2" w:name="_Toc22628"/>
      <w:r>
        <w:rPr>
          <w:rFonts w:hint="eastAsia"/>
        </w:rPr>
        <w:t>报价</w:t>
      </w:r>
      <w:r>
        <w:rPr>
          <w:rFonts w:hint="eastAsia"/>
          <w:lang w:val="en-US" w:eastAsia="zh-CN"/>
        </w:rPr>
        <w:t>单</w:t>
      </w:r>
      <w:bookmarkEnd w:id="2"/>
      <w:bookmarkStart w:id="6" w:name="_GoBack"/>
      <w:bookmarkEnd w:id="6"/>
    </w:p>
    <w:p w14:paraId="4F7D2B90">
      <w:pPr>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深圳市前海蛇口自贸区医院：</w:t>
      </w:r>
    </w:p>
    <w:p w14:paraId="6F52FCBC">
      <w:p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报价如下（币种：人民币，单位：元）</w:t>
      </w:r>
    </w:p>
    <w:tbl>
      <w:tblPr>
        <w:tblStyle w:val="6"/>
        <w:tblW w:w="85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37"/>
        <w:gridCol w:w="1807"/>
        <w:gridCol w:w="1399"/>
        <w:gridCol w:w="837"/>
        <w:gridCol w:w="1679"/>
        <w:gridCol w:w="1960"/>
      </w:tblGrid>
      <w:tr w14:paraId="0059A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5185EE">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6A8E90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货物名称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3424B8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计量单位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684E9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67A386">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单价（元）</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0A03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总报价（元）</w:t>
            </w:r>
          </w:p>
        </w:tc>
      </w:tr>
      <w:tr w14:paraId="509C6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D9D8BC">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D9591DB">
            <w:pPr>
              <w:keepNext/>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92EC61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531276F">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sz w:val="24"/>
                <w:szCs w:val="24"/>
                <w:u w:val="none"/>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04174C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80C1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p>
        </w:tc>
      </w:tr>
      <w:tr w14:paraId="21F8A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BC0E5E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10E59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2A59E2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8C861D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sz w:val="24"/>
                <w:szCs w:val="24"/>
                <w:u w:val="none"/>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19FB5E2">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C4A3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p>
        </w:tc>
      </w:tr>
      <w:tr w14:paraId="51A54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22E605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AE3A9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1BBFEE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C76EE00">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sz w:val="24"/>
                <w:szCs w:val="24"/>
                <w:u w:val="none"/>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1B35F71">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0944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p>
        </w:tc>
      </w:tr>
      <w:tr w14:paraId="2AB21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FD8D3B">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845ECFA">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sz w:val="24"/>
                <w:szCs w:val="24"/>
                <w:u w:val="none"/>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4F2C72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D4691C7">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sz w:val="24"/>
                <w:szCs w:val="24"/>
                <w:u w:val="none"/>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CA64FC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B5918">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p>
        </w:tc>
      </w:tr>
      <w:tr w14:paraId="3D105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7580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8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7C603">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sz w:val="24"/>
                <w:szCs w:val="24"/>
                <w:u w:val="none"/>
                <w:lang w:val="en-US" w:eastAsia="zh-CN"/>
              </w:rPr>
              <w:t>*</w:t>
            </w:r>
          </w:p>
        </w:tc>
        <w:tc>
          <w:tcPr>
            <w:tcW w:w="1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B4795">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p>
        </w:tc>
        <w:tc>
          <w:tcPr>
            <w:tcW w:w="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F4BAD">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sz w:val="24"/>
                <w:szCs w:val="24"/>
                <w:u w:val="none"/>
                <w:lang w:val="en-US" w:eastAsia="zh-CN"/>
              </w:rPr>
              <w:t>*</w:t>
            </w:r>
          </w:p>
        </w:tc>
        <w:tc>
          <w:tcPr>
            <w:tcW w:w="1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6A144">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C2959">
            <w:pPr>
              <w:keepNext/>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p>
        </w:tc>
      </w:tr>
    </w:tbl>
    <w:p w14:paraId="777D5761">
      <w:pPr>
        <w:pStyle w:val="2"/>
        <w:jc w:val="center"/>
        <w:rPr>
          <w:rFonts w:hint="eastAsia" w:ascii="宋体" w:hAnsi="宋体" w:eastAsia="宋体" w:cs="宋体"/>
          <w:sz w:val="24"/>
          <w:szCs w:val="24"/>
          <w:lang w:eastAsia="zh-CN"/>
        </w:rPr>
      </w:pPr>
    </w:p>
    <w:p w14:paraId="782A9EFB">
      <w:pPr>
        <w:spacing w:line="360" w:lineRule="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法人或法人授权人签名：</w:t>
      </w:r>
    </w:p>
    <w:p w14:paraId="246E9582">
      <w:pPr>
        <w:spacing w:line="360" w:lineRule="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联系人：</w:t>
      </w:r>
    </w:p>
    <w:p w14:paraId="13F2CD79">
      <w:pPr>
        <w:spacing w:line="360" w:lineRule="auto"/>
        <w:ind w:right="1680"/>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联系方式：</w:t>
      </w:r>
    </w:p>
    <w:p w14:paraId="4B121438">
      <w:pPr>
        <w:spacing w:line="360" w:lineRule="auto"/>
        <w:ind w:right="2100"/>
        <w:jc w:val="right"/>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公司盖章：</w:t>
      </w:r>
    </w:p>
    <w:p w14:paraId="2E4D42A5">
      <w:pPr>
        <w:jc w:val="right"/>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年  月  日</w:t>
      </w:r>
    </w:p>
    <w:p w14:paraId="07F0D25C">
      <w:pPr>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br w:type="page"/>
      </w:r>
    </w:p>
    <w:p w14:paraId="7E0EB074">
      <w:pPr>
        <w:pStyle w:val="3"/>
        <w:bidi w:val="0"/>
        <w:jc w:val="center"/>
      </w:pPr>
      <w:bookmarkStart w:id="3" w:name="_Toc7122"/>
      <w:r>
        <w:rPr>
          <w:rFonts w:hint="eastAsia"/>
          <w:lang w:val="en-US" w:eastAsia="zh-CN"/>
        </w:rPr>
        <w:t>履约承诺函</w:t>
      </w:r>
      <w:bookmarkEnd w:id="3"/>
    </w:p>
    <w:p w14:paraId="012B970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right="0" w:rightChars="0" w:firstLine="0" w:firstLineChars="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致：深圳市前海蛇口自贸区医院</w:t>
      </w:r>
    </w:p>
    <w:p w14:paraId="77B02F66">
      <w:pPr>
        <w:keepNext w:val="0"/>
        <w:keepLines w:val="0"/>
        <w:pageBreakBefore w:val="0"/>
        <w:widowControl w:val="0"/>
        <w:kinsoku/>
        <w:wordWrap/>
        <w:overflowPunct/>
        <w:topLinePunct w:val="0"/>
        <w:autoSpaceDE/>
        <w:autoSpaceDN/>
        <w:bidi w:val="0"/>
        <w:adjustRightInd/>
        <w:spacing w:line="44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我单位承诺：</w:t>
      </w:r>
    </w:p>
    <w:p w14:paraId="688EACF3">
      <w:pPr>
        <w:keepNext w:val="0"/>
        <w:keepLines w:val="0"/>
        <w:pageBreakBefore w:val="0"/>
        <w:widowControl w:val="0"/>
        <w:numPr>
          <w:ilvl w:val="0"/>
          <w:numId w:val="1"/>
        </w:numPr>
        <w:kinsoku/>
        <w:wordWrap/>
        <w:overflowPunct/>
        <w:topLinePunct w:val="0"/>
        <w:autoSpaceDE/>
        <w:autoSpaceDN/>
        <w:bidi w:val="0"/>
        <w:adjustRightInd/>
        <w:spacing w:line="440" w:lineRule="exact"/>
        <w:ind w:left="0" w:leftChars="0" w:right="0" w:firstLine="640" w:firstLineChars="200"/>
        <w:jc w:val="left"/>
        <w:textAlignment w:val="auto"/>
        <w:rPr>
          <w:sz w:val="32"/>
          <w:szCs w:val="32"/>
        </w:rPr>
      </w:pPr>
      <w:r>
        <w:rPr>
          <w:rFonts w:hint="eastAsia" w:ascii="仿宋_GB2312" w:hAnsi="仿宋_GB2312" w:eastAsia="仿宋_GB2312" w:cs="仿宋_GB2312"/>
          <w:kern w:val="2"/>
          <w:sz w:val="32"/>
          <w:szCs w:val="32"/>
          <w:lang w:val="en-US" w:eastAsia="zh-CN" w:bidi="ar-SA"/>
        </w:rPr>
        <w:t>我单位本项目所提供的货物或服务未侵犯知识产权。</w:t>
      </w:r>
    </w:p>
    <w:p w14:paraId="32A554D4">
      <w:pPr>
        <w:keepNext w:val="0"/>
        <w:keepLines w:val="0"/>
        <w:pageBreakBefore w:val="0"/>
        <w:widowControl w:val="0"/>
        <w:numPr>
          <w:ilvl w:val="0"/>
          <w:numId w:val="1"/>
        </w:numPr>
        <w:kinsoku/>
        <w:wordWrap/>
        <w:overflowPunct/>
        <w:topLinePunct w:val="0"/>
        <w:autoSpaceDE/>
        <w:autoSpaceDN/>
        <w:bidi w:val="0"/>
        <w:adjustRightInd/>
        <w:spacing w:line="440" w:lineRule="exact"/>
        <w:ind w:left="0" w:leftChars="0" w:right="0" w:firstLine="640" w:firstLineChars="200"/>
        <w:jc w:val="left"/>
        <w:textAlignment w:val="auto"/>
        <w:rPr>
          <w:sz w:val="32"/>
          <w:szCs w:val="32"/>
        </w:rPr>
      </w:pPr>
      <w:r>
        <w:rPr>
          <w:rFonts w:hint="eastAsia" w:ascii="仿宋_GB2312" w:hAnsi="仿宋_GB2312" w:eastAsia="仿宋_GB2312" w:cs="仿宋_GB2312"/>
          <w:kern w:val="2"/>
          <w:sz w:val="32"/>
          <w:szCs w:val="32"/>
          <w:lang w:val="en-US" w:eastAsia="zh-CN" w:bidi="ar-SA"/>
        </w:rPr>
        <w:t>我单位参与本项目前三年内，在经营活动中没有重大违法记录。</w:t>
      </w:r>
    </w:p>
    <w:p w14:paraId="5BEFE2DE">
      <w:pPr>
        <w:keepNext w:val="0"/>
        <w:keepLines w:val="0"/>
        <w:pageBreakBefore w:val="0"/>
        <w:widowControl w:val="0"/>
        <w:numPr>
          <w:ilvl w:val="0"/>
          <w:numId w:val="1"/>
        </w:numPr>
        <w:kinsoku/>
        <w:wordWrap/>
        <w:overflowPunct/>
        <w:topLinePunct w:val="0"/>
        <w:autoSpaceDE/>
        <w:autoSpaceDN/>
        <w:bidi w:val="0"/>
        <w:adjustRightInd/>
        <w:spacing w:line="44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我单位参与本项目政府采购活动时不存在被有关部门禁止参与政府采购活动且在有效期内的情况。</w:t>
      </w:r>
    </w:p>
    <w:p w14:paraId="4C66ECB1">
      <w:pPr>
        <w:keepNext w:val="0"/>
        <w:keepLines w:val="0"/>
        <w:pageBreakBefore w:val="0"/>
        <w:widowControl w:val="0"/>
        <w:numPr>
          <w:ilvl w:val="0"/>
          <w:numId w:val="1"/>
        </w:numPr>
        <w:kinsoku/>
        <w:wordWrap/>
        <w:overflowPunct/>
        <w:topLinePunct w:val="0"/>
        <w:autoSpaceDE/>
        <w:autoSpaceDN/>
        <w:bidi w:val="0"/>
        <w:adjustRightInd/>
        <w:spacing w:line="44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我单位具备《中华人民共和国政府采购法》第二十二条第一款规定的六项条件。</w:t>
      </w:r>
    </w:p>
    <w:p w14:paraId="33867A56">
      <w:pPr>
        <w:keepNext w:val="0"/>
        <w:keepLines w:val="0"/>
        <w:pageBreakBefore w:val="0"/>
        <w:widowControl w:val="0"/>
        <w:numPr>
          <w:ilvl w:val="0"/>
          <w:numId w:val="1"/>
        </w:numPr>
        <w:kinsoku/>
        <w:wordWrap/>
        <w:overflowPunct/>
        <w:topLinePunct w:val="0"/>
        <w:autoSpaceDE/>
        <w:autoSpaceDN/>
        <w:bidi w:val="0"/>
        <w:adjustRightInd/>
        <w:spacing w:line="44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我单位未被列入失信被执行人、重大税收违法案件当事人名单、政府采购严重违法失信行为记录名单。</w:t>
      </w:r>
    </w:p>
    <w:p w14:paraId="4A5D1097">
      <w:pPr>
        <w:keepNext w:val="0"/>
        <w:keepLines w:val="0"/>
        <w:pageBreakBefore w:val="0"/>
        <w:widowControl w:val="0"/>
        <w:numPr>
          <w:ilvl w:val="0"/>
          <w:numId w:val="1"/>
        </w:numPr>
        <w:kinsoku/>
        <w:wordWrap/>
        <w:overflowPunct/>
        <w:topLinePunct w:val="0"/>
        <w:autoSpaceDE/>
        <w:autoSpaceDN/>
        <w:bidi w:val="0"/>
        <w:adjustRightInd/>
        <w:spacing w:line="440" w:lineRule="exact"/>
        <w:ind w:left="0" w:leftChars="0" w:right="0" w:firstLine="640" w:firstLineChars="200"/>
        <w:jc w:val="left"/>
        <w:textAlignment w:val="auto"/>
        <w:rPr>
          <w:sz w:val="32"/>
          <w:szCs w:val="32"/>
        </w:rPr>
      </w:pPr>
      <w:bookmarkStart w:id="4" w:name="_Hlk72587269_ai"/>
      <w:bookmarkStart w:id="5" w:name="_Hlk72587299_ai"/>
      <w:r>
        <w:rPr>
          <w:rFonts w:hint="eastAsia" w:ascii="仿宋_GB2312" w:hAnsi="仿宋_GB2312" w:eastAsia="仿宋_GB2312" w:cs="仿宋_GB2312"/>
          <w:kern w:val="2"/>
          <w:sz w:val="32"/>
          <w:szCs w:val="32"/>
          <w:lang w:val="en-US" w:eastAsia="zh-CN" w:bidi="ar-SA"/>
        </w:rPr>
        <w:t>我单位参与本项目，严格遵守政府采购相关法律，不得造假，不围标、串标、陪标。我单位已清楚，如违反上述要求，将被列入不良记录名单并在网上曝光，同时将被提请政府采购主管部门给予一定年限内禁止参与政府采购活动或其他处罚</w:t>
      </w:r>
      <w:bookmarkEnd w:id="4"/>
      <w:r>
        <w:rPr>
          <w:rFonts w:hint="eastAsia" w:ascii="仿宋_GB2312" w:hAnsi="仿宋_GB2312" w:eastAsia="仿宋_GB2312" w:cs="仿宋_GB2312"/>
          <w:kern w:val="2"/>
          <w:sz w:val="32"/>
          <w:szCs w:val="32"/>
          <w:lang w:val="en-US" w:eastAsia="zh-CN" w:bidi="ar-SA"/>
        </w:rPr>
        <w:t>。</w:t>
      </w:r>
      <w:bookmarkEnd w:id="5"/>
    </w:p>
    <w:p w14:paraId="7FCB9CE0">
      <w:pPr>
        <w:keepNext w:val="0"/>
        <w:keepLines w:val="0"/>
        <w:pageBreakBefore w:val="0"/>
        <w:widowControl w:val="0"/>
        <w:numPr>
          <w:ilvl w:val="0"/>
          <w:numId w:val="1"/>
        </w:numPr>
        <w:kinsoku/>
        <w:wordWrap/>
        <w:overflowPunct/>
        <w:topLinePunct w:val="0"/>
        <w:autoSpaceDE/>
        <w:autoSpaceDN/>
        <w:bidi w:val="0"/>
        <w:adjustRightInd/>
        <w:spacing w:line="440" w:lineRule="exact"/>
        <w:ind w:left="0" w:leftChars="0" w:right="0" w:firstLine="640" w:firstLineChars="200"/>
        <w:jc w:val="left"/>
        <w:textAlignment w:val="auto"/>
        <w:rPr>
          <w:sz w:val="32"/>
          <w:szCs w:val="32"/>
        </w:rPr>
      </w:pPr>
      <w:r>
        <w:rPr>
          <w:rFonts w:hint="eastAsia" w:ascii="仿宋_GB2312" w:hAnsi="仿宋_GB2312" w:eastAsia="仿宋_GB2312" w:cs="仿宋_GB2312"/>
          <w:kern w:val="2"/>
          <w:sz w:val="32"/>
          <w:szCs w:val="32"/>
          <w:lang w:val="en-US" w:eastAsia="zh-CN" w:bidi="ar-SA"/>
        </w:rPr>
        <w:t>我单位将做到守信，不偷工减料，依照本项目需求内容、签署的采购合同及本单位所作的一切承诺履约。我单位对本项目的报价负责，将严格按照本项目需求、签署的采购合同及本单位所作的全部承诺履行。</w:t>
      </w:r>
    </w:p>
    <w:p w14:paraId="67EFEC9C">
      <w:pPr>
        <w:keepNext w:val="0"/>
        <w:keepLines w:val="0"/>
        <w:pageBreakBefore w:val="0"/>
        <w:widowControl w:val="0"/>
        <w:numPr>
          <w:ilvl w:val="0"/>
          <w:numId w:val="1"/>
        </w:numPr>
        <w:kinsoku/>
        <w:wordWrap/>
        <w:overflowPunct/>
        <w:topLinePunct w:val="0"/>
        <w:autoSpaceDE/>
        <w:autoSpaceDN/>
        <w:bidi w:val="0"/>
        <w:adjustRightInd/>
        <w:spacing w:line="440" w:lineRule="exact"/>
        <w:ind w:left="0" w:leftChars="0" w:right="0" w:firstLine="640" w:firstLineChars="200"/>
        <w:jc w:val="left"/>
        <w:textAlignment w:val="auto"/>
        <w:rPr>
          <w:sz w:val="32"/>
          <w:szCs w:val="32"/>
        </w:rPr>
      </w:pPr>
      <w:r>
        <w:rPr>
          <w:rFonts w:hint="eastAsia" w:ascii="仿宋_GB2312" w:hAnsi="仿宋_GB2312" w:eastAsia="仿宋_GB2312" w:cs="仿宋_GB2312"/>
          <w:kern w:val="2"/>
          <w:sz w:val="32"/>
          <w:szCs w:val="32"/>
          <w:lang w:val="en-US" w:eastAsia="zh-CN" w:bidi="ar-SA"/>
        </w:rPr>
        <w:t>我单位清楚，若以“报价太低而无法履约”为理由放弃本项目时，愿意接受主管部门的处理处罚。若我单位的报价明显低于其他方的报价时，我单位清楚，本项目将成为重点监管、重点验收项目，我单位将按时保质保量完成，并全力配合有关监管、验收工作；若我单位未按上述要求履约，我单位愿意接受主管部门的处理处罚。</w:t>
      </w:r>
    </w:p>
    <w:p w14:paraId="4B7CCFD7">
      <w:pPr>
        <w:keepNext w:val="0"/>
        <w:keepLines w:val="0"/>
        <w:pageBreakBefore w:val="0"/>
        <w:widowControl w:val="0"/>
        <w:numPr>
          <w:ilvl w:val="0"/>
          <w:numId w:val="1"/>
        </w:numPr>
        <w:kinsoku/>
        <w:wordWrap/>
        <w:overflowPunct/>
        <w:topLinePunct w:val="0"/>
        <w:autoSpaceDE/>
        <w:autoSpaceDN/>
        <w:bidi w:val="0"/>
        <w:adjustRightInd/>
        <w:spacing w:line="44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我单位已认真核实了</w:t>
      </w:r>
      <w:r>
        <w:rPr>
          <w:rFonts w:hint="eastAsia" w:ascii="仿宋_GB2312" w:hAnsi="仿宋_GB2312" w:eastAsia="仿宋_GB2312" w:cs="仿宋_GB2312"/>
          <w:sz w:val="32"/>
          <w:szCs w:val="32"/>
          <w:lang w:val="en-US" w:eastAsia="zh-CN"/>
        </w:rPr>
        <w:t>相关文件</w:t>
      </w:r>
      <w:r>
        <w:rPr>
          <w:rFonts w:hint="eastAsia" w:ascii="仿宋_GB2312" w:hAnsi="仿宋_GB2312" w:eastAsia="仿宋_GB2312" w:cs="仿宋_GB2312"/>
          <w:sz w:val="32"/>
          <w:szCs w:val="32"/>
        </w:rPr>
        <w:t>的全部内容，所有资料均为真实资料。我单位对</w:t>
      </w:r>
      <w:r>
        <w:rPr>
          <w:rFonts w:hint="eastAsia" w:ascii="仿宋_GB2312" w:hAnsi="仿宋_GB2312" w:eastAsia="仿宋_GB2312" w:cs="仿宋_GB2312"/>
          <w:sz w:val="32"/>
          <w:szCs w:val="32"/>
          <w:lang w:val="en-US" w:eastAsia="zh-CN"/>
        </w:rPr>
        <w:t>提交</w:t>
      </w:r>
      <w:r>
        <w:rPr>
          <w:rFonts w:hint="eastAsia" w:ascii="仿宋_GB2312" w:hAnsi="仿宋_GB2312" w:eastAsia="仿宋_GB2312" w:cs="仿宋_GB2312"/>
          <w:sz w:val="32"/>
          <w:szCs w:val="32"/>
        </w:rPr>
        <w:t>文件资料的真实性负责，如被证实我单位的文件中存在虚假资料的，则视为我单位隐瞒真实情况、提供虚假资料，我单位愿意接受主管部门的行政处罚。</w:t>
      </w:r>
    </w:p>
    <w:p w14:paraId="0501C5A1">
      <w:pPr>
        <w:keepNext w:val="0"/>
        <w:keepLines w:val="0"/>
        <w:pageBreakBefore w:val="0"/>
        <w:widowControl w:val="0"/>
        <w:numPr>
          <w:ilvl w:val="0"/>
          <w:numId w:val="1"/>
        </w:numPr>
        <w:kinsoku/>
        <w:wordWrap/>
        <w:overflowPunct/>
        <w:topLinePunct w:val="0"/>
        <w:autoSpaceDE/>
        <w:autoSpaceDN/>
        <w:bidi w:val="0"/>
        <w:adjustRightInd/>
        <w:spacing w:line="440" w:lineRule="exact"/>
        <w:ind w:left="0" w:leftChars="0" w:right="0" w:firstLine="640" w:firstLineChars="200"/>
        <w:jc w:val="left"/>
        <w:textAlignment w:val="auto"/>
        <w:rPr>
          <w:sz w:val="32"/>
          <w:szCs w:val="32"/>
        </w:rPr>
      </w:pPr>
      <w:r>
        <w:rPr>
          <w:rFonts w:hint="eastAsia" w:ascii="仿宋_GB2312" w:hAnsi="仿宋_GB2312" w:eastAsia="仿宋_GB2312" w:cs="仿宋_GB2312"/>
          <w:kern w:val="2"/>
          <w:sz w:val="32"/>
          <w:szCs w:val="32"/>
          <w:lang w:val="en-US" w:eastAsia="zh-CN" w:bidi="ar-SA"/>
        </w:rPr>
        <w:t>我单位承诺项目不得转包，未经采购人同意不进行分包。</w:t>
      </w:r>
    </w:p>
    <w:p w14:paraId="4F1FD132">
      <w:pPr>
        <w:keepNext w:val="0"/>
        <w:keepLines w:val="0"/>
        <w:pageBreakBefore w:val="0"/>
        <w:widowControl w:val="0"/>
        <w:numPr>
          <w:ilvl w:val="0"/>
          <w:numId w:val="1"/>
        </w:numPr>
        <w:kinsoku/>
        <w:wordWrap/>
        <w:overflowPunct/>
        <w:topLinePunct w:val="0"/>
        <w:autoSpaceDE/>
        <w:autoSpaceDN/>
        <w:bidi w:val="0"/>
        <w:adjustRightInd/>
        <w:spacing w:line="44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1E06550A">
      <w:pPr>
        <w:keepNext w:val="0"/>
        <w:keepLines w:val="0"/>
        <w:pageBreakBefore w:val="0"/>
        <w:widowControl w:val="0"/>
        <w:numPr>
          <w:ilvl w:val="0"/>
          <w:numId w:val="1"/>
        </w:numPr>
        <w:kinsoku/>
        <w:wordWrap/>
        <w:overflowPunct/>
        <w:topLinePunct w:val="0"/>
        <w:autoSpaceDE/>
        <w:autoSpaceDN/>
        <w:bidi w:val="0"/>
        <w:adjustRightInd/>
        <w:spacing w:line="440" w:lineRule="exact"/>
        <w:ind w:left="0" w:leftChars="0" w:right="0" w:firstLine="640" w:firstLineChars="200"/>
        <w:jc w:val="left"/>
        <w:textAlignment w:val="auto"/>
        <w:rPr>
          <w:sz w:val="32"/>
          <w:szCs w:val="32"/>
        </w:rPr>
      </w:pPr>
      <w:r>
        <w:rPr>
          <w:rFonts w:hint="eastAsia" w:ascii="仿宋_GB2312" w:hAnsi="仿宋_GB2312" w:eastAsia="仿宋_GB2312" w:cs="仿宋_GB2312"/>
          <w:kern w:val="2"/>
          <w:sz w:val="32"/>
          <w:szCs w:val="32"/>
          <w:lang w:val="en-US" w:eastAsia="zh-CN" w:bidi="ar-SA"/>
        </w:rPr>
        <w:t>我单位保证，若所提供货物涉及《财政部生态环境部关于印发节能产品政府采购品目清单的通知》（财库〔2019〕19号）列明的政府采购强制产品，则所提供该产品符合节能产品的认证要求。</w:t>
      </w:r>
    </w:p>
    <w:p w14:paraId="16187893">
      <w:pPr>
        <w:keepNext w:val="0"/>
        <w:keepLines w:val="0"/>
        <w:pageBreakBefore w:val="0"/>
        <w:widowControl w:val="0"/>
        <w:numPr>
          <w:ilvl w:val="0"/>
          <w:numId w:val="1"/>
        </w:numPr>
        <w:kinsoku/>
        <w:wordWrap/>
        <w:overflowPunct/>
        <w:topLinePunct w:val="0"/>
        <w:autoSpaceDE/>
        <w:autoSpaceDN/>
        <w:bidi w:val="0"/>
        <w:adjustRightInd/>
        <w:snapToGrid w:val="0"/>
        <w:spacing w:line="440" w:lineRule="exact"/>
        <w:ind w:left="0" w:leftChars="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以上承诺，如有违反，愿依照国家相关法律法规处理，并承担由此给采购人带来的损失。</w:t>
      </w:r>
    </w:p>
    <w:p w14:paraId="3535489E">
      <w:pPr>
        <w:keepNext w:val="0"/>
        <w:keepLines w:val="0"/>
        <w:pageBreakBefore w:val="0"/>
        <w:widowControl w:val="0"/>
        <w:kinsoku/>
        <w:wordWrap/>
        <w:overflowPunct/>
        <w:topLinePunct w:val="0"/>
        <w:autoSpaceDE/>
        <w:autoSpaceDN/>
        <w:bidi w:val="0"/>
        <w:adjustRightInd/>
        <w:snapToGrid w:val="0"/>
        <w:spacing w:line="440" w:lineRule="exact"/>
        <w:ind w:left="0" w:leftChars="0" w:right="0" w:firstLine="640" w:firstLineChars="200"/>
        <w:jc w:val="left"/>
        <w:textAlignment w:val="auto"/>
        <w:rPr>
          <w:rFonts w:hint="eastAsia" w:ascii="仿宋_GB2312" w:hAnsi="仿宋_GB2312" w:eastAsia="仿宋_GB2312" w:cs="仿宋_GB2312"/>
          <w:sz w:val="32"/>
          <w:szCs w:val="32"/>
        </w:rPr>
      </w:pPr>
    </w:p>
    <w:p w14:paraId="6C79B84F">
      <w:pPr>
        <w:keepNext w:val="0"/>
        <w:keepLines w:val="0"/>
        <w:pageBreakBefore w:val="0"/>
        <w:widowControl w:val="0"/>
        <w:kinsoku/>
        <w:wordWrap w:val="0"/>
        <w:overflowPunct/>
        <w:topLinePunct w:val="0"/>
        <w:autoSpaceDE/>
        <w:autoSpaceDN/>
        <w:bidi w:val="0"/>
        <w:adjustRightInd/>
        <w:snapToGrid w:val="0"/>
        <w:spacing w:line="440" w:lineRule="exact"/>
        <w:ind w:left="0" w:leftChars="0" w:right="0" w:rightChars="0" w:firstLine="640" w:firstLineChars="200"/>
        <w:jc w:val="right"/>
        <w:textAlignment w:val="auto"/>
        <w:rPr>
          <w:rFonts w:hint="default"/>
          <w:sz w:val="32"/>
          <w:szCs w:val="32"/>
          <w:lang w:val="en-US"/>
        </w:rPr>
      </w:pPr>
      <w:r>
        <w:rPr>
          <w:rFonts w:hint="eastAsia" w:ascii="仿宋_GB2312" w:hAnsi="仿宋_GB2312" w:eastAsia="仿宋_GB2312" w:cs="仿宋_GB2312"/>
          <w:kern w:val="2"/>
          <w:sz w:val="32"/>
          <w:szCs w:val="32"/>
          <w:lang w:val="en-US" w:eastAsia="zh-CN" w:bidi="ar-SA"/>
        </w:rPr>
        <w:t xml:space="preserve">单位名称：   </w:t>
      </w:r>
    </w:p>
    <w:p w14:paraId="62A5E359">
      <w:pPr>
        <w:keepNext w:val="0"/>
        <w:keepLines w:val="0"/>
        <w:pageBreakBefore w:val="0"/>
        <w:widowControl w:val="0"/>
        <w:kinsoku/>
        <w:wordWrap/>
        <w:overflowPunct/>
        <w:topLinePunct w:val="0"/>
        <w:autoSpaceDE/>
        <w:autoSpaceDN/>
        <w:bidi w:val="0"/>
        <w:adjustRightInd/>
        <w:snapToGrid w:val="0"/>
        <w:spacing w:line="440" w:lineRule="exact"/>
        <w:ind w:left="0" w:leftChars="0" w:right="0" w:firstLine="640" w:firstLineChars="2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14:paraId="3837426A">
      <w:pPr>
        <w:keepNext w:val="0"/>
        <w:keepLines w:val="0"/>
        <w:pageBreakBefore w:val="0"/>
        <w:widowControl w:val="0"/>
        <w:kinsoku/>
        <w:wordWrap/>
        <w:overflowPunct/>
        <w:topLinePunct w:val="0"/>
        <w:autoSpaceDE/>
        <w:autoSpaceDN/>
        <w:bidi w:val="0"/>
        <w:adjustRightInd/>
        <w:snapToGrid w:val="0"/>
        <w:spacing w:line="440" w:lineRule="exact"/>
        <w:ind w:left="0" w:leftChars="0" w:right="0" w:firstLine="643" w:firstLineChars="200"/>
        <w:jc w:val="left"/>
        <w:textAlignment w:val="auto"/>
        <w:rPr>
          <w:rFonts w:hint="eastAsia" w:ascii="仿宋_GB2312" w:hAnsi="仿宋_GB2312" w:eastAsia="仿宋_GB2312" w:cs="仿宋_GB2312"/>
          <w:b/>
          <w:bCs/>
          <w:color w:val="0000FF"/>
          <w:kern w:val="44"/>
          <w:sz w:val="32"/>
          <w:szCs w:val="32"/>
        </w:rPr>
      </w:pPr>
      <w:r>
        <w:rPr>
          <w:rFonts w:hint="eastAsia" w:ascii="仿宋_GB2312" w:hAnsi="仿宋_GB2312" w:eastAsia="仿宋_GB2312" w:cs="仿宋_GB2312"/>
          <w:b/>
          <w:color w:val="FF0000"/>
          <w:kern w:val="0"/>
          <w:sz w:val="32"/>
          <w:szCs w:val="32"/>
        </w:rPr>
        <w:t>注：根据《中华人民共和国政府采购法实施条例》第十九条规定：政府采购法第二十二条第一款第五项所称重大违法记录，是指供应商因违法经营受到刑事处罚或者责令停产停业、吊销许可证或者执照、较大数额罚款等行政处罚。</w:t>
      </w:r>
    </w:p>
    <w:p w14:paraId="2A64553E">
      <w:pPr>
        <w:pStyle w:val="2"/>
        <w:keepNext w:val="0"/>
        <w:keepLines w:val="0"/>
        <w:pageBreakBefore w:val="0"/>
        <w:widowControl w:val="0"/>
        <w:kinsoku/>
        <w:wordWrap/>
        <w:overflowPunct/>
        <w:topLinePunct w:val="0"/>
        <w:autoSpaceDE/>
        <w:autoSpaceDN/>
        <w:bidi w:val="0"/>
        <w:adjustRightInd/>
        <w:spacing w:line="440" w:lineRule="exact"/>
        <w:jc w:val="left"/>
        <w:textAlignment w:val="auto"/>
        <w:rPr>
          <w:rFonts w:hint="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183D9F"/>
    <w:multiLevelType w:val="singleLevel"/>
    <w:tmpl w:val="4F183D9F"/>
    <w:lvl w:ilvl="0" w:tentative="0">
      <w:start w:val="1"/>
      <w:numFmt w:val="chineseCounting"/>
      <w:suff w:val="nothing"/>
      <w:lvlText w:val="%1、"/>
      <w:lvlJc w:val="left"/>
      <w:pPr>
        <w:ind w:left="0" w:firstLine="420"/>
      </w:pPr>
      <w:rPr>
        <w:rFonts w:hint="eastAsia" w:ascii="仿宋_GB2312" w:hAnsi="仿宋_GB2312" w:eastAsia="仿宋_GB2312" w:cs="仿宋_GB2312"/>
        <w:sz w:val="32"/>
        <w:szCs w:val="3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B610FF3"/>
    <w:rsid w:val="20D84B41"/>
    <w:rsid w:val="26D545A2"/>
    <w:rsid w:val="38303DCF"/>
    <w:rsid w:val="39EC0811"/>
    <w:rsid w:val="3B317A0A"/>
    <w:rsid w:val="3B8A40BE"/>
    <w:rsid w:val="40572AEC"/>
    <w:rsid w:val="470A4BCA"/>
    <w:rsid w:val="50883354"/>
    <w:rsid w:val="522A5F17"/>
    <w:rsid w:val="543A462B"/>
    <w:rsid w:val="56D55BE3"/>
    <w:rsid w:val="597E2AC8"/>
    <w:rsid w:val="5FE43FF0"/>
    <w:rsid w:val="6E833B6C"/>
    <w:rsid w:val="6ECB63C8"/>
    <w:rsid w:val="6ED97C3F"/>
    <w:rsid w:val="78E339A1"/>
    <w:rsid w:val="7C4F43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rFonts w:ascii="Calibri" w:hAnsi="Calibri" w:cs="黑体"/>
      <w:b/>
      <w:bCs/>
      <w:kern w:val="44"/>
      <w:sz w:val="44"/>
      <w:szCs w:val="44"/>
    </w:rPr>
  </w:style>
  <w:style w:type="paragraph" w:styleId="4">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rPr>
      <w:rFonts w:eastAsia="楷体_GB2312"/>
      <w:sz w:val="36"/>
    </w:rPr>
  </w:style>
  <w:style w:type="paragraph" w:styleId="5">
    <w:name w:val="toc 1"/>
    <w:basedOn w:val="1"/>
    <w:next w:val="1"/>
    <w:qFormat/>
    <w:uiPriority w:val="0"/>
  </w:style>
  <w:style w:type="table" w:styleId="7">
    <w:name w:val="Table Grid"/>
    <w:basedOn w:val="6"/>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paragraph" w:customStyle="1" w:styleId="10">
    <w:name w:val="Õý"/>
    <w:qFormat/>
    <w:uiPriority w:val="0"/>
    <w:pPr>
      <w:widowControl w:val="0"/>
      <w:jc w:val="both"/>
    </w:pPr>
    <w:rPr>
      <w:rFonts w:ascii="Times New Roman" w:hAnsi="Times New Roman" w:eastAsia="宋体" w:cs="Times New Roman"/>
      <w:kern w:val="2"/>
      <w:sz w:val="21"/>
      <w:lang w:val="en-US" w:eastAsia="zh-CN" w:bidi="ar-SA"/>
    </w:rPr>
  </w:style>
  <w:style w:type="paragraph" w:styleId="11">
    <w:name w:val="List Paragraph"/>
    <w:basedOn w:val="1"/>
    <w:qFormat/>
    <w:uiPriority w:val="34"/>
    <w:pPr>
      <w:ind w:left="704" w:hanging="420"/>
    </w:pPr>
    <w:rPr>
      <w:rFonts w:ascii="Times New Roman" w:hAnsi="Times New Roman" w:eastAsia="黑体" w:cs="Times New Roman"/>
      <w:sz w:val="32"/>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1383</Words>
  <Characters>1390</Characters>
  <Lines>0</Lines>
  <Paragraphs>0</Paragraphs>
  <TotalTime>2</TotalTime>
  <ScaleCrop>false</ScaleCrop>
  <LinksUpToDate>false</LinksUpToDate>
  <CharactersWithSpaces>1411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2023-11-01T01:36:00Z</dcterms:created>
  <dc:creator>Administrator</dc:creator>
  <cp:lastModifiedBy>skrmyy</cp:lastModifiedBy>
  <dcterms:modified xsi:type="dcterms:W3CDTF">2026-07-14T01:06:50Z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eyJoZGlkIjoiNzEwODY2M2FjMjUyNDdiMzQ5NWQ0ZjY3NTU5ODRmMzkiLCJ1c2VySWQiOiIxMzA5OTk5MjUwIn0=</vt:lpwstr>
  </property>
  <property fmtid="{D5CDD505-2E9C-101B-9397-08002B2CF9AE}" pid="4" name="ICV">
    <vt:lpwstr>268A45D74A3942F682B397D458449F01_13</vt:lpwstr>
  </property>
</Properties>
</file>