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20" w:lineRule="atLeast"/>
        <w:jc w:val="center"/>
        <w:rPr>
          <w:rFonts w:hint="eastAsia" w:ascii="方正小标宋简体" w:hAnsi="宋体" w:eastAsia="方正小标宋简体"/>
          <w:sz w:val="32"/>
          <w:szCs w:val="32"/>
        </w:rPr>
      </w:pPr>
      <w:r>
        <w:rPr>
          <w:rFonts w:hint="eastAsia" w:ascii="方正小标宋简体" w:hAnsi="宋体" w:eastAsia="方正小标宋简体"/>
          <w:sz w:val="32"/>
          <w:szCs w:val="32"/>
        </w:rPr>
        <w:t>2026深圳市前海蛇口自贸区医院</w:t>
      </w:r>
      <w:r>
        <w:rPr>
          <w:rFonts w:hint="eastAsia" w:ascii="方正小标宋简体" w:hAnsi="宋体" w:eastAsia="方正小标宋简体"/>
          <w:sz w:val="32"/>
          <w:szCs w:val="32"/>
          <w:lang w:val="en-US" w:eastAsia="zh-CN"/>
        </w:rPr>
        <w:t>重特大时期全天侯安全监测值守与处置服务</w:t>
      </w:r>
      <w:r>
        <w:rPr>
          <w:rFonts w:hint="eastAsia" w:ascii="方正小标宋简体" w:hAnsi="宋体" w:eastAsia="方正小标宋简体"/>
          <w:sz w:val="32"/>
          <w:szCs w:val="32"/>
        </w:rPr>
        <w:t>方案征集</w:t>
      </w:r>
    </w:p>
    <w:p>
      <w:pPr>
        <w:spacing w:after="0" w:line="360" w:lineRule="auto"/>
        <w:jc w:val="center"/>
        <w:rPr>
          <w:rFonts w:ascii="仿宋_GB2312" w:hAnsi="宋体" w:eastAsia="仿宋_GB2312"/>
          <w:sz w:val="24"/>
          <w:szCs w:val="24"/>
        </w:rPr>
      </w:pPr>
    </w:p>
    <w:p>
      <w:pPr>
        <w:pStyle w:val="11"/>
        <w:numPr>
          <w:ilvl w:val="0"/>
          <w:numId w:val="1"/>
        </w:numPr>
        <w:tabs>
          <w:tab w:val="left" w:pos="567"/>
        </w:tabs>
        <w:spacing w:after="0" w:line="360" w:lineRule="auto"/>
        <w:ind w:left="0" w:firstLine="0" w:firstLineChars="0"/>
        <w:jc w:val="both"/>
        <w:rPr>
          <w:rFonts w:hint="eastAsia" w:ascii="仿宋" w:hAnsi="仿宋" w:eastAsia="仿宋" w:cs="仿宋"/>
          <w:sz w:val="24"/>
          <w:szCs w:val="24"/>
        </w:rPr>
      </w:pPr>
      <w:r>
        <w:rPr>
          <w:rFonts w:hint="eastAsia" w:ascii="仿宋" w:hAnsi="仿宋" w:eastAsia="仿宋" w:cs="仿宋"/>
          <w:sz w:val="24"/>
          <w:szCs w:val="24"/>
        </w:rPr>
        <w:t>项目背景</w:t>
      </w:r>
    </w:p>
    <w:p>
      <w:pPr>
        <w:spacing w:after="0" w:line="360" w:lineRule="auto"/>
        <w:ind w:firstLine="480" w:firstLineChars="200"/>
        <w:jc w:val="both"/>
        <w:rPr>
          <w:rFonts w:hint="eastAsia" w:ascii="仿宋" w:hAnsi="仿宋" w:eastAsia="仿宋" w:cs="仿宋"/>
          <w:sz w:val="24"/>
          <w:szCs w:val="24"/>
          <w:lang w:val="en-US" w:eastAsia="zh-CN"/>
        </w:rPr>
      </w:pPr>
      <w:r>
        <w:rPr>
          <w:rFonts w:hint="eastAsia" w:ascii="仿宋" w:hAnsi="仿宋" w:eastAsia="仿宋" w:cs="仿宋"/>
          <w:sz w:val="24"/>
          <w:szCs w:val="24"/>
        </w:rPr>
        <w:t>深圳市前海蛇口自贸区医院，作为一家国家三级综合医院和南山蛇口自贸区的区域医疗中心，承担着辖区内大量居民的日常医疗服务任务。医院坚持以患者为中心、以信息化建设为抓手，持续提升医疗服务能力和患者就医体验。医院</w:t>
      </w:r>
      <w:r>
        <w:rPr>
          <w:rFonts w:hint="eastAsia" w:ascii="仿宋" w:hAnsi="仿宋" w:eastAsia="仿宋" w:cs="仿宋"/>
          <w:sz w:val="24"/>
          <w:szCs w:val="24"/>
          <w:lang w:val="en-US" w:eastAsia="zh-CN"/>
        </w:rPr>
        <w:t>现阶段日常信息安全和初阶攻防对抗采取设备+服务组合的形式保障业务系统运转，但受限于设备能力和人员精力，仍然在重特大时期存在较大安全风险，典型如：医院目前安全设备较多，告警繁杂，难以管理和数据归集，事件溯源耗时长且分析困难；日常安全服务聚焦于白天时段，夜间也缺乏防御值守能力，但医院为7*24H小时公共事业服务单位，夜间急诊、住院等业务连续性要求高，一旦发生攻击或信息安全误操作对患者生命健康存在巨大威胁，因此需补足相应能力；同时重特大时期安全攻防对抗实效性要求较高，目前依赖人工分析的方式难以实现秒级响应，分钟级阻断，必须借助于AI能力实现威胁快速响应及自闭环。</w:t>
      </w:r>
    </w:p>
    <w:p>
      <w:pPr>
        <w:spacing w:after="0" w:line="360" w:lineRule="auto"/>
        <w:ind w:firstLine="480" w:firstLineChars="200"/>
        <w:jc w:val="both"/>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因此，本项目围绕上述重点问题，重点解决重特大时期医院安全防护能力不足的问题，实现医院全天候安全监测值守与处置，保障医院业务运转。</w:t>
      </w:r>
    </w:p>
    <w:p>
      <w:pPr>
        <w:pStyle w:val="11"/>
        <w:numPr>
          <w:ilvl w:val="0"/>
          <w:numId w:val="1"/>
        </w:numPr>
        <w:tabs>
          <w:tab w:val="left" w:pos="567"/>
        </w:tabs>
        <w:spacing w:after="0" w:line="360" w:lineRule="auto"/>
        <w:ind w:left="0" w:firstLine="0" w:firstLineChars="0"/>
        <w:jc w:val="both"/>
        <w:rPr>
          <w:rFonts w:hint="eastAsia" w:ascii="仿宋" w:hAnsi="仿宋" w:eastAsia="仿宋" w:cs="仿宋"/>
          <w:sz w:val="24"/>
          <w:szCs w:val="24"/>
        </w:rPr>
      </w:pPr>
      <w:r>
        <w:rPr>
          <w:rFonts w:hint="eastAsia" w:ascii="仿宋" w:hAnsi="仿宋" w:eastAsia="仿宋" w:cs="仿宋"/>
          <w:sz w:val="24"/>
          <w:szCs w:val="24"/>
        </w:rPr>
        <w:t>服务要求</w:t>
      </w:r>
    </w:p>
    <w:p>
      <w:pPr>
        <w:spacing w:after="0" w:line="360" w:lineRule="auto"/>
        <w:ind w:firstLine="480" w:firstLineChars="200"/>
        <w:jc w:val="both"/>
        <w:rPr>
          <w:rFonts w:hint="eastAsia" w:ascii="仿宋" w:hAnsi="仿宋" w:eastAsia="仿宋" w:cs="仿宋"/>
          <w:sz w:val="24"/>
          <w:szCs w:val="24"/>
        </w:rPr>
      </w:pPr>
      <w:r>
        <w:rPr>
          <w:rFonts w:hint="eastAsia" w:ascii="仿宋" w:hAnsi="仿宋" w:eastAsia="仿宋" w:cs="仿宋"/>
          <w:sz w:val="24"/>
          <w:szCs w:val="24"/>
        </w:rPr>
        <w:t>本项目建设须</w:t>
      </w:r>
      <w:r>
        <w:rPr>
          <w:rFonts w:hint="eastAsia" w:ascii="仿宋" w:hAnsi="仿宋" w:eastAsia="仿宋" w:cs="仿宋"/>
          <w:sz w:val="24"/>
          <w:szCs w:val="24"/>
          <w:lang w:val="en-US" w:eastAsia="zh-CN"/>
        </w:rPr>
        <w:t>基于医院安全建设现状，采用前沿技术服务帮助医院构建重特大时期安全保障服务</w:t>
      </w:r>
      <w:r>
        <w:rPr>
          <w:rFonts w:hint="eastAsia" w:ascii="仿宋" w:hAnsi="仿宋" w:eastAsia="仿宋" w:cs="仿宋"/>
          <w:sz w:val="24"/>
          <w:szCs w:val="24"/>
        </w:rPr>
        <w:t>，本次建设内容</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1.可扩展检测与响应AI平台服务（6个月）；2.7*24小时安全托管服务（6个月）</w:t>
      </w:r>
      <w:r>
        <w:rPr>
          <w:rFonts w:hint="eastAsia" w:ascii="仿宋" w:hAnsi="仿宋" w:eastAsia="仿宋" w:cs="仿宋"/>
          <w:sz w:val="24"/>
          <w:szCs w:val="24"/>
        </w:rPr>
        <w:t>。（供应商需提供承诺函）。</w:t>
      </w:r>
    </w:p>
    <w:p>
      <w:pPr>
        <w:pStyle w:val="11"/>
        <w:numPr>
          <w:ilvl w:val="0"/>
          <w:numId w:val="1"/>
        </w:numPr>
        <w:tabs>
          <w:tab w:val="left" w:pos="567"/>
        </w:tabs>
        <w:spacing w:after="0" w:line="360" w:lineRule="auto"/>
        <w:ind w:left="0" w:firstLine="0" w:firstLineChars="0"/>
        <w:jc w:val="both"/>
        <w:rPr>
          <w:rFonts w:hint="eastAsia" w:ascii="仿宋" w:hAnsi="仿宋" w:eastAsia="仿宋" w:cs="仿宋"/>
          <w:sz w:val="24"/>
          <w:szCs w:val="24"/>
        </w:rPr>
      </w:pPr>
      <w:r>
        <w:rPr>
          <w:rFonts w:hint="eastAsia" w:ascii="仿宋" w:hAnsi="仿宋" w:eastAsia="仿宋" w:cs="仿宋"/>
          <w:sz w:val="24"/>
          <w:szCs w:val="24"/>
        </w:rPr>
        <w:t>建设内容</w:t>
      </w:r>
    </w:p>
    <w:p>
      <w:pPr>
        <w:spacing w:after="0" w:line="360" w:lineRule="auto"/>
        <w:ind w:firstLine="480" w:firstLineChars="200"/>
        <w:jc w:val="both"/>
        <w:rPr>
          <w:rFonts w:hint="eastAsia" w:ascii="仿宋" w:hAnsi="仿宋" w:eastAsia="仿宋" w:cs="仿宋"/>
          <w:sz w:val="24"/>
          <w:szCs w:val="24"/>
        </w:rPr>
      </w:pPr>
      <w:r>
        <w:rPr>
          <w:rFonts w:hint="eastAsia" w:ascii="仿宋" w:hAnsi="仿宋" w:eastAsia="仿宋" w:cs="仿宋"/>
          <w:sz w:val="24"/>
          <w:szCs w:val="24"/>
        </w:rPr>
        <w:t>包括本次</w:t>
      </w:r>
      <w:r>
        <w:rPr>
          <w:rFonts w:hint="eastAsia" w:ascii="仿宋" w:hAnsi="仿宋" w:eastAsia="仿宋" w:cs="仿宋"/>
          <w:sz w:val="24"/>
          <w:szCs w:val="24"/>
          <w:lang w:val="en-US" w:eastAsia="zh-CN"/>
        </w:rPr>
        <w:t>服务内容要求如下</w:t>
      </w:r>
      <w:r>
        <w:rPr>
          <w:rFonts w:hint="eastAsia" w:ascii="仿宋" w:hAnsi="仿宋" w:eastAsia="仿宋" w:cs="仿宋"/>
          <w:sz w:val="24"/>
          <w:szCs w:val="24"/>
        </w:rPr>
        <w:t>。各供应商须在方案中对以下</w:t>
      </w:r>
      <w:r>
        <w:rPr>
          <w:rFonts w:hint="eastAsia" w:ascii="仿宋" w:hAnsi="仿宋" w:eastAsia="仿宋" w:cs="仿宋"/>
          <w:sz w:val="24"/>
          <w:szCs w:val="24"/>
          <w:lang w:val="en-US" w:eastAsia="zh-CN"/>
        </w:rPr>
        <w:t>内容</w:t>
      </w:r>
      <w:r>
        <w:rPr>
          <w:rFonts w:hint="eastAsia" w:ascii="仿宋" w:hAnsi="仿宋" w:eastAsia="仿宋" w:cs="仿宋"/>
          <w:sz w:val="24"/>
          <w:szCs w:val="24"/>
        </w:rPr>
        <w:t>进行响应：</w:t>
      </w:r>
    </w:p>
    <w:tbl>
      <w:tblPr>
        <w:tblStyle w:val="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1665"/>
        <w:gridCol w:w="5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674" w:type="pct"/>
            <w:vAlign w:val="center"/>
          </w:tcPr>
          <w:p>
            <w:pPr>
              <w:rPr>
                <w:rFonts w:hint="eastAsia" w:ascii="仿宋" w:hAnsi="仿宋" w:eastAsia="仿宋" w:cs="仿宋"/>
                <w:sz w:val="21"/>
                <w:szCs w:val="21"/>
              </w:rPr>
            </w:pPr>
            <w:r>
              <w:rPr>
                <w:rFonts w:hint="eastAsia" w:ascii="仿宋" w:hAnsi="仿宋" w:eastAsia="仿宋" w:cs="仿宋"/>
                <w:sz w:val="21"/>
                <w:szCs w:val="21"/>
              </w:rPr>
              <w:t>序号</w:t>
            </w:r>
          </w:p>
        </w:tc>
        <w:tc>
          <w:tcPr>
            <w:tcW w:w="977" w:type="pct"/>
            <w:vAlign w:val="center"/>
          </w:tcPr>
          <w:p>
            <w:pPr>
              <w:rPr>
                <w:rFonts w:hint="eastAsia" w:ascii="仿宋" w:hAnsi="仿宋" w:eastAsia="仿宋" w:cs="仿宋"/>
                <w:sz w:val="21"/>
                <w:szCs w:val="21"/>
              </w:rPr>
            </w:pPr>
            <w:r>
              <w:rPr>
                <w:rFonts w:hint="eastAsia" w:ascii="仿宋" w:hAnsi="仿宋" w:eastAsia="仿宋" w:cs="仿宋"/>
                <w:sz w:val="21"/>
                <w:szCs w:val="21"/>
                <w:lang w:val="en-US" w:eastAsia="zh-CN"/>
              </w:rPr>
              <w:t>服务</w:t>
            </w:r>
            <w:r>
              <w:rPr>
                <w:rFonts w:hint="eastAsia" w:ascii="仿宋" w:hAnsi="仿宋" w:eastAsia="仿宋" w:cs="仿宋"/>
                <w:sz w:val="21"/>
                <w:szCs w:val="21"/>
              </w:rPr>
              <w:t>名称</w:t>
            </w:r>
          </w:p>
        </w:tc>
        <w:tc>
          <w:tcPr>
            <w:tcW w:w="3348" w:type="pct"/>
            <w:vAlign w:val="center"/>
          </w:tcPr>
          <w:p>
            <w:pPr>
              <w:rPr>
                <w:rFonts w:hint="eastAsia" w:ascii="仿宋" w:hAnsi="仿宋" w:eastAsia="仿宋" w:cs="仿宋"/>
                <w:sz w:val="21"/>
                <w:szCs w:val="21"/>
              </w:rPr>
            </w:pPr>
            <w:r>
              <w:rPr>
                <w:rFonts w:hint="eastAsia" w:ascii="仿宋" w:hAnsi="仿宋" w:eastAsia="仿宋" w:cs="仿宋"/>
                <w:sz w:val="21"/>
                <w:szCs w:val="21"/>
                <w:lang w:val="en-US" w:eastAsia="zh-CN"/>
              </w:rPr>
              <w:t>服务内容</w:t>
            </w:r>
            <w:r>
              <w:rPr>
                <w:rFonts w:hint="eastAsia" w:ascii="仿宋" w:hAnsi="仿宋" w:eastAsia="仿宋" w:cs="仿宋"/>
                <w:sz w:val="21"/>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4" w:type="pct"/>
            <w:vAlign w:val="center"/>
          </w:tcPr>
          <w:p>
            <w:pPr>
              <w:rPr>
                <w:rFonts w:hint="eastAsia" w:ascii="仿宋" w:hAnsi="仿宋" w:eastAsia="仿宋" w:cs="仿宋"/>
                <w:sz w:val="21"/>
                <w:szCs w:val="21"/>
              </w:rPr>
            </w:pPr>
            <w:r>
              <w:rPr>
                <w:rFonts w:hint="eastAsia" w:ascii="仿宋" w:hAnsi="仿宋" w:eastAsia="仿宋" w:cs="仿宋"/>
                <w:sz w:val="21"/>
                <w:szCs w:val="21"/>
              </w:rPr>
              <w:t>1</w:t>
            </w:r>
          </w:p>
        </w:tc>
        <w:tc>
          <w:tcPr>
            <w:tcW w:w="977" w:type="pct"/>
            <w:vAlign w:val="center"/>
          </w:tcPr>
          <w:p>
            <w:p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可扩展检测与响应AI</w:t>
            </w:r>
            <w:r>
              <w:rPr>
                <w:rFonts w:hint="eastAsia" w:ascii="仿宋" w:hAnsi="仿宋" w:eastAsia="仿宋" w:cs="仿宋"/>
                <w:sz w:val="21"/>
                <w:szCs w:val="21"/>
                <w:lang w:val="en-US" w:eastAsia="zh-CN"/>
              </w:rPr>
              <w:t>平台服务</w:t>
            </w:r>
          </w:p>
        </w:tc>
        <w:tc>
          <w:tcPr>
            <w:tcW w:w="3348" w:type="pct"/>
            <w:vAlign w:val="center"/>
          </w:tcPr>
          <w:p>
            <w:pPr>
              <w:numPr>
                <w:ilvl w:val="0"/>
                <w:numId w:val="2"/>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支持对AI</w:t>
            </w:r>
            <w:r>
              <w:rPr>
                <w:rFonts w:hint="eastAsia" w:ascii="仿宋" w:hAnsi="仿宋" w:eastAsia="仿宋" w:cs="仿宋"/>
                <w:sz w:val="21"/>
                <w:szCs w:val="21"/>
                <w:lang w:val="en-US" w:eastAsia="zh-CN"/>
              </w:rPr>
              <w:t>自主值守的分析进展和处置结果进行统计展示。包括但不限于自定义统计时间周期，展示接入的组件告警数量、聚合后的告警数量、分析生成的事件总数、AI</w:t>
            </w:r>
            <w:r>
              <w:rPr>
                <w:rFonts w:hint="eastAsia" w:ascii="仿宋" w:hAnsi="仿宋" w:eastAsia="仿宋" w:cs="仿宋"/>
                <w:sz w:val="21"/>
                <w:szCs w:val="21"/>
                <w:lang w:val="en-US" w:eastAsia="zh-CN"/>
              </w:rPr>
              <w:t>自主值守的告警定性分层说明，包括确认攻击、疑似攻击、误报、数据不足等大类；AI</w:t>
            </w:r>
            <w:r>
              <w:rPr>
                <w:rFonts w:hint="eastAsia" w:ascii="仿宋" w:hAnsi="仿宋" w:eastAsia="仿宋" w:cs="仿宋"/>
                <w:sz w:val="21"/>
                <w:szCs w:val="21"/>
                <w:lang w:val="en-US" w:eastAsia="zh-CN"/>
              </w:rPr>
              <w:t>今日的研判告警数、生成事件数、闭环事件数;</w:t>
            </w:r>
            <w:r>
              <w:rPr>
                <w:rFonts w:hint="eastAsia" w:ascii="仿宋" w:hAnsi="仿宋" w:eastAsia="仿宋" w:cs="仿宋"/>
                <w:sz w:val="21"/>
                <w:szCs w:val="21"/>
                <w:lang w:val="en-US" w:eastAsia="zh-CN"/>
              </w:rPr>
              <w:t>支持计算AI</w:t>
            </w:r>
            <w:r>
              <w:rPr>
                <w:rFonts w:hint="eastAsia" w:ascii="仿宋" w:hAnsi="仿宋" w:eastAsia="仿宋" w:cs="仿宋"/>
                <w:sz w:val="21"/>
                <w:szCs w:val="21"/>
                <w:lang w:val="en-US" w:eastAsia="zh-CN"/>
              </w:rPr>
              <w:t>自主值守下的告警研判覆盖率和累积节省研判用时。（供应商需提供服务平台功能截图证证）</w:t>
            </w:r>
          </w:p>
          <w:p>
            <w:pPr>
              <w:numPr>
                <w:ilvl w:val="0"/>
                <w:numId w:val="2"/>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支持以PPT格式导出安全运营态势报告，内容涵盖平台总览、安全事件态势、安全告警态势和脆弱性态势四个维度，其中平台总览包括安全总览、自有组件接入，安全事件态势包括告警消减效果、安全事件发生态势、安全事件分布、精准事件解读、安全事件处置、风险主机概览，安全告警态势包括安全告警分布、外部攻击态势，脆弱性态势包括脆弱性概览等。</w:t>
            </w:r>
          </w:p>
          <w:p>
            <w:pPr>
              <w:numPr>
                <w:ilvl w:val="0"/>
                <w:numId w:val="2"/>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支持安全事件攻击链、入口点、父子进程、影响面的还原，可支持进程树纵向拓展至10个及以上层级，横向拓展至15个及以上层级，以对风险资产的复杂威胁提供更全面细颗粒度的展现视角。</w:t>
            </w:r>
          </w:p>
          <w:p>
            <w:pPr>
              <w:numPr>
                <w:ilvl w:val="0"/>
                <w:numId w:val="2"/>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服务平台具备多源告警消减与融合能力，具备对告警进行 payload相似度、单个攻击源对多个目标发起的相似攻击、多个攻击源对单个目标发起的相似攻击等维度的深度聚合归并能力。针对于同一个攻击行为，不同网侧、端侧安全设备产生的多条安全告警可以关联融合成同一条告警，点击告警可查看到多条三方子告警。</w:t>
            </w:r>
          </w:p>
          <w:p>
            <w:pPr>
              <w:numPr>
                <w:ilvl w:val="0"/>
                <w:numId w:val="2"/>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支持自定义AI</w:t>
            </w:r>
            <w:r>
              <w:rPr>
                <w:rFonts w:hint="eastAsia" w:ascii="仿宋" w:hAnsi="仿宋" w:eastAsia="仿宋" w:cs="仿宋"/>
                <w:sz w:val="21"/>
                <w:szCs w:val="21"/>
                <w:lang w:val="en-US" w:eastAsia="zh-CN"/>
              </w:rPr>
              <w:t>研判结论调优策略，通过告警ID、日志ID、源IP、源端口、目的IP、目的端口、域名、URL、文件MD5、文件路径、XFF、告警等级、检测引擎、标签、攻击结果、访问方向、请求头、请求体、响应头、响应体、告警名称等多条件组合的方式定位调优对象。（供应商需提供服务平台功能截图证明）</w:t>
            </w:r>
          </w:p>
          <w:p>
            <w:pPr>
              <w:numPr>
                <w:ilvl w:val="0"/>
                <w:numId w:val="2"/>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服务平台可主动识别高价值资产如外网地址内用、DNS服务器、代理服务器、漏洞扫描器、互联网代理、IP地址、域名地址、CDN节点IP等，支持将识别到的特殊资产按不同类型分类展示，用户可对识别的高价值资产进行确认，帮助平台进行更准确的进行告警研判。（供应商需提供服务平台功能截图证明）</w:t>
            </w:r>
          </w:p>
          <w:p>
            <w:pPr>
              <w:numPr>
                <w:ilvl w:val="0"/>
                <w:numId w:val="2"/>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支持自定义相似性告警规则，可基于不同范围的告警，按内置的终端类规则模板设置告警相似性特征，或自定义网络类规则的告警相似性特征，对于范围内命中规则的告警自动融合成一条告警，且可对已设置的规则调整规则优先级。（供应商需提供服务平台功能截图证明）</w:t>
            </w:r>
          </w:p>
          <w:p>
            <w:pPr>
              <w:numPr>
                <w:ilvl w:val="0"/>
                <w:numId w:val="2"/>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服务平台优先以S</w:t>
            </w:r>
            <w:r>
              <w:rPr>
                <w:rFonts w:hint="eastAsia" w:ascii="仿宋" w:hAnsi="仿宋" w:eastAsia="仿宋" w:cs="仿宋"/>
                <w:sz w:val="21"/>
                <w:szCs w:val="21"/>
                <w:lang w:val="en-US" w:eastAsia="zh-CN"/>
              </w:rPr>
              <w:t>aaS</w:t>
            </w:r>
            <w:r>
              <w:rPr>
                <w:rFonts w:hint="eastAsia" w:ascii="仿宋" w:hAnsi="仿宋" w:eastAsia="仿宋" w:cs="仿宋"/>
                <w:sz w:val="21"/>
                <w:szCs w:val="21"/>
                <w:lang w:val="en-US" w:eastAsia="zh-CN"/>
              </w:rPr>
              <w:t>化形式交付，不改变医院现有网络架构。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674" w:type="pct"/>
            <w:vAlign w:val="center"/>
          </w:tcPr>
          <w:p>
            <w:p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2</w:t>
            </w:r>
          </w:p>
        </w:tc>
        <w:tc>
          <w:tcPr>
            <w:tcW w:w="977" w:type="pct"/>
            <w:vAlign w:val="center"/>
          </w:tcPr>
          <w:p>
            <w:p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7*24小时安全托管服务</w:t>
            </w:r>
          </w:p>
        </w:tc>
        <w:tc>
          <w:tcPr>
            <w:tcW w:w="3348" w:type="pct"/>
            <w:vAlign w:val="center"/>
          </w:tcPr>
          <w:p>
            <w:pPr>
              <w:numPr>
                <w:ilvl w:val="0"/>
                <w:numId w:val="3"/>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供应商提供服务平台应当支持对接医院网络中已部署的主要安全设备，下一代防火墙、安全态势感知、端点安全管理、可扩展检测与响应AI</w:t>
            </w:r>
            <w:r>
              <w:rPr>
                <w:rFonts w:hint="eastAsia" w:ascii="仿宋" w:hAnsi="仿宋" w:eastAsia="仿宋" w:cs="仿宋"/>
                <w:sz w:val="21"/>
                <w:szCs w:val="21"/>
                <w:lang w:val="en-US" w:eastAsia="zh-CN"/>
              </w:rPr>
              <w:t>平台服务，支持实时接收安全设备检测到的安全事件信息、安全日志数据提供7*24小时的安全托管服务。</w:t>
            </w:r>
          </w:p>
          <w:p>
            <w:pPr>
              <w:numPr>
                <w:ilvl w:val="0"/>
                <w:numId w:val="3"/>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供应商需为医院提供服务成果展示门户（或用户Portal），具备服务质量可视化展示，能通过可视化的数据，清晰的了解安全专家的服务水平，至少包括威胁闭环率、威胁平均响应时长、威胁平均闭环时长、事件闭环率、事件平均闭环时长，以验证供应商所承诺的服务指标（或称为服务SLA）。（提供服务成果展示门户中服务质量监控相关的截图证明）</w:t>
            </w:r>
          </w:p>
          <w:p>
            <w:pPr>
              <w:numPr>
                <w:ilvl w:val="0"/>
                <w:numId w:val="3"/>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供应商应使用安全工具对医院服务资产开展互联网暴露面探测，以梳理资产面向互联网的开放情况，快速发现违规暴露在互联网中的资产及存在的风险并进行处置，实现对暴露面资产可管可控，降低暴露面资产的风险。</w:t>
            </w:r>
          </w:p>
          <w:p>
            <w:pPr>
              <w:numPr>
                <w:ilvl w:val="0"/>
                <w:numId w:val="3"/>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供应商应当为医院提供7*24小时的安全守护，不论是白天、黑夜、节假日，供应商都应该能做到7*24H在线服务，并且在节假日期间应当每日为医院提供节假日值守快报。</w:t>
            </w:r>
          </w:p>
          <w:p>
            <w:pPr>
              <w:numPr>
                <w:ilvl w:val="0"/>
                <w:numId w:val="3"/>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供应商对服务范围内的资产提供网络安全事件损失理赔承诺，即在正常服务过程中因供应商的服务缺陷导致医院服务范围内的资产发生网络安全事件时，医院有权要求供应商赔偿该事件给医院直接造成的网络营业中断损失、数据恢复费用、第三者责任、应急响应损失、网络勒索损失，累计赔付金额不得低于20万人民币。（供应商需提供承诺函并加盖公章）</w:t>
            </w:r>
          </w:p>
          <w:p>
            <w:pPr>
              <w:numPr>
                <w:ilvl w:val="0"/>
                <w:numId w:val="3"/>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安全专家应当结合安全漏洞情报主动排查是否对服务资产造成影响并通知用户，及时协助进行安全加固。</w:t>
            </w:r>
          </w:p>
          <w:p>
            <w:pPr>
              <w:numPr>
                <w:ilvl w:val="0"/>
                <w:numId w:val="3"/>
              </w:numP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供应商需为医院提供移动端服务过程展示门户（移动端Portal），支持直观地查阅服务推送的各种安全事件/威胁的详细专家处置闭环过程，需包含安全事件详细的跟踪进度说明，包括发现风险、AI研判、专家二次研判、事件处置和完成归档。（提供移动端展示门户的相关功能截图证明）</w:t>
            </w:r>
          </w:p>
        </w:tc>
      </w:tr>
    </w:tbl>
    <w:p>
      <w:pPr>
        <w:pStyle w:val="11"/>
        <w:widowControl w:val="0"/>
        <w:tabs>
          <w:tab w:val="left" w:pos="567"/>
        </w:tabs>
        <w:adjustRightInd/>
        <w:snapToGrid/>
        <w:spacing w:after="0" w:line="360" w:lineRule="auto"/>
        <w:ind w:firstLine="480"/>
        <w:jc w:val="both"/>
        <w:rPr>
          <w:rFonts w:hint="eastAsia" w:ascii="仿宋" w:hAnsi="仿宋" w:eastAsia="仿宋" w:cs="仿宋"/>
          <w:sz w:val="24"/>
          <w:szCs w:val="24"/>
        </w:rPr>
      </w:pPr>
    </w:p>
    <w:p>
      <w:pPr>
        <w:pStyle w:val="11"/>
        <w:widowControl w:val="0"/>
        <w:numPr>
          <w:ilvl w:val="0"/>
          <w:numId w:val="1"/>
        </w:numPr>
        <w:tabs>
          <w:tab w:val="left" w:pos="567"/>
        </w:tabs>
        <w:adjustRightInd/>
        <w:snapToGrid/>
        <w:spacing w:after="0" w:line="360" w:lineRule="auto"/>
        <w:ind w:left="0" w:firstLine="0" w:firstLineChars="0"/>
        <w:jc w:val="both"/>
        <w:rPr>
          <w:rFonts w:hint="eastAsia" w:ascii="仿宋" w:hAnsi="仿宋" w:eastAsia="仿宋" w:cs="仿宋"/>
          <w:sz w:val="24"/>
          <w:szCs w:val="24"/>
        </w:rPr>
      </w:pPr>
      <w:r>
        <w:rPr>
          <w:rFonts w:hint="eastAsia" w:ascii="仿宋" w:hAnsi="仿宋" w:eastAsia="仿宋" w:cs="仿宋"/>
          <w:sz w:val="24"/>
          <w:szCs w:val="24"/>
        </w:rPr>
        <w:t>本着“公平、公开、公正”的原则，欢迎国内厂商将产品解决方案及相关介绍材料（一式五份）寄/送达深圳市南山区招商街道</w:t>
      </w:r>
      <w:r>
        <w:rPr>
          <w:rFonts w:hint="eastAsia" w:ascii="仿宋" w:hAnsi="仿宋" w:eastAsia="仿宋" w:cs="仿宋"/>
          <w:sz w:val="24"/>
          <w:szCs w:val="24"/>
          <w:lang w:val="en-US" w:eastAsia="zh-CN"/>
        </w:rPr>
        <w:t>工业七路128号前海蛇口自贸区医院3号楼12楼科教信息部</w:t>
      </w:r>
      <w:r>
        <w:rPr>
          <w:rFonts w:hint="eastAsia" w:ascii="仿宋" w:hAnsi="仿宋" w:eastAsia="仿宋" w:cs="仿宋"/>
          <w:sz w:val="24"/>
          <w:szCs w:val="24"/>
        </w:rPr>
        <w:t>，另将材料的电子扫描件发送至</w:t>
      </w:r>
      <w:r>
        <w:rPr>
          <w:rFonts w:hint="eastAsia" w:ascii="仿宋" w:hAnsi="仿宋" w:eastAsia="仿宋" w:cs="仿宋"/>
          <w:sz w:val="24"/>
          <w:szCs w:val="24"/>
          <w:highlight w:val="yellow"/>
        </w:rPr>
        <w:t>13923843010@139.com</w:t>
      </w:r>
      <w:r>
        <w:rPr>
          <w:rFonts w:hint="eastAsia" w:ascii="仿宋" w:hAnsi="仿宋" w:eastAsia="仿宋" w:cs="仿宋"/>
          <w:sz w:val="24"/>
          <w:szCs w:val="24"/>
        </w:rPr>
        <w:t>。</w:t>
      </w:r>
    </w:p>
    <w:p>
      <w:pPr>
        <w:pStyle w:val="5"/>
        <w:shd w:val="clear" w:color="auto" w:fill="FFFFFF"/>
        <w:spacing w:beforeAutospacing="0" w:afterAutospacing="0" w:line="360" w:lineRule="auto"/>
        <w:ind w:firstLine="480" w:firstLineChars="200"/>
        <w:rPr>
          <w:rFonts w:hint="eastAsia" w:ascii="仿宋" w:hAnsi="仿宋" w:eastAsia="仿宋" w:cs="仿宋"/>
          <w:szCs w:val="24"/>
        </w:rPr>
      </w:pPr>
      <w:r>
        <w:rPr>
          <w:rFonts w:hint="eastAsia" w:ascii="仿宋" w:hAnsi="仿宋" w:eastAsia="仿宋" w:cs="仿宋"/>
          <w:kern w:val="2"/>
          <w:szCs w:val="24"/>
        </w:rPr>
        <w:t>报名截止时间：</w:t>
      </w:r>
      <w:r>
        <w:rPr>
          <w:rFonts w:hint="eastAsia" w:ascii="仿宋" w:hAnsi="仿宋" w:eastAsia="仿宋" w:cs="仿宋"/>
          <w:kern w:val="2"/>
          <w:szCs w:val="24"/>
          <w:shd w:val="clear" w:color="auto" w:fill="FFFF00"/>
        </w:rPr>
        <w:t>2026年</w:t>
      </w:r>
      <w:r>
        <w:rPr>
          <w:rFonts w:hint="eastAsia" w:ascii="仿宋" w:hAnsi="仿宋" w:eastAsia="仿宋" w:cs="仿宋"/>
          <w:kern w:val="2"/>
          <w:szCs w:val="24"/>
          <w:shd w:val="clear" w:color="auto" w:fill="FFFF00"/>
          <w:lang w:val="en-US" w:eastAsia="zh-CN"/>
        </w:rPr>
        <w:t>10</w:t>
      </w:r>
      <w:r>
        <w:rPr>
          <w:rFonts w:hint="eastAsia" w:ascii="仿宋" w:hAnsi="仿宋" w:eastAsia="仿宋" w:cs="仿宋"/>
          <w:kern w:val="2"/>
          <w:szCs w:val="24"/>
          <w:shd w:val="clear" w:color="auto" w:fill="FFFF00"/>
        </w:rPr>
        <w:t>月</w:t>
      </w:r>
      <w:r>
        <w:rPr>
          <w:rFonts w:hint="eastAsia" w:ascii="仿宋" w:hAnsi="仿宋" w:eastAsia="仿宋" w:cs="仿宋"/>
          <w:kern w:val="2"/>
          <w:szCs w:val="24"/>
          <w:shd w:val="clear" w:color="auto" w:fill="FFFF00"/>
          <w:lang w:val="en-US" w:eastAsia="zh-CN"/>
        </w:rPr>
        <w:t>16</w:t>
      </w:r>
      <w:r>
        <w:rPr>
          <w:rFonts w:hint="eastAsia" w:ascii="仿宋" w:hAnsi="仿宋" w:eastAsia="仿宋" w:cs="仿宋"/>
          <w:kern w:val="2"/>
          <w:szCs w:val="24"/>
          <w:shd w:val="clear" w:color="auto" w:fill="FFFF00"/>
        </w:rPr>
        <w:t>日下午下班前（17点）。</w:t>
      </w:r>
      <w:r>
        <w:rPr>
          <w:rFonts w:hint="eastAsia" w:ascii="仿宋" w:hAnsi="仿宋" w:eastAsia="仿宋" w:cs="仿宋"/>
          <w:szCs w:val="24"/>
        </w:rPr>
        <w:t>项目专家论证会时间（需准备8分钟左右的PPT进行项目建设方案的介绍）另行通知。</w:t>
      </w:r>
    </w:p>
    <w:p>
      <w:pPr>
        <w:pStyle w:val="5"/>
        <w:shd w:val="clear" w:color="auto" w:fill="FFFFFF"/>
        <w:spacing w:beforeAutospacing="0" w:afterAutospacing="0" w:line="360" w:lineRule="auto"/>
        <w:ind w:firstLine="480" w:firstLineChars="200"/>
        <w:jc w:val="both"/>
        <w:rPr>
          <w:rFonts w:hint="eastAsia" w:ascii="仿宋" w:hAnsi="仿宋" w:eastAsia="仿宋" w:cs="仿宋"/>
          <w:kern w:val="2"/>
          <w:szCs w:val="24"/>
        </w:rPr>
      </w:pPr>
      <w:r>
        <w:rPr>
          <w:rFonts w:hint="eastAsia" w:ascii="仿宋" w:hAnsi="仿宋" w:eastAsia="仿宋" w:cs="仿宋"/>
          <w:kern w:val="2"/>
          <w:szCs w:val="24"/>
        </w:rPr>
        <w:t>报名联系人：</w:t>
      </w:r>
      <w:r>
        <w:rPr>
          <w:rFonts w:hint="eastAsia" w:ascii="仿宋" w:hAnsi="仿宋" w:eastAsia="仿宋" w:cs="仿宋"/>
          <w:kern w:val="2"/>
          <w:szCs w:val="24"/>
          <w:highlight w:val="yellow"/>
        </w:rPr>
        <w:t>刘曙恒    电话：13923843010</w:t>
      </w:r>
    </w:p>
    <w:p>
      <w:pPr>
        <w:pStyle w:val="5"/>
        <w:shd w:val="clear" w:color="auto" w:fill="FFFFFF"/>
        <w:spacing w:beforeAutospacing="0" w:afterAutospacing="0" w:line="360" w:lineRule="auto"/>
        <w:ind w:firstLine="480" w:firstLineChars="200"/>
        <w:jc w:val="both"/>
        <w:rPr>
          <w:rFonts w:hint="eastAsia" w:ascii="仿宋" w:hAnsi="仿宋" w:eastAsia="仿宋" w:cs="仿宋"/>
          <w:kern w:val="2"/>
          <w:szCs w:val="24"/>
          <w:lang w:val="en-US" w:eastAsia="zh-CN"/>
        </w:rPr>
      </w:pPr>
      <w:r>
        <w:rPr>
          <w:rFonts w:hint="eastAsia" w:ascii="仿宋" w:hAnsi="仿宋" w:eastAsia="仿宋" w:cs="仿宋"/>
          <w:szCs w:val="24"/>
        </w:rPr>
        <w:t>项目技术需求及沟通联系人：</w:t>
      </w:r>
      <w:r>
        <w:rPr>
          <w:rFonts w:hint="eastAsia" w:ascii="仿宋" w:hAnsi="仿宋" w:eastAsia="仿宋" w:cs="仿宋"/>
          <w:szCs w:val="24"/>
          <w:highlight w:val="yellow"/>
          <w:lang w:val="en-US" w:eastAsia="zh-CN"/>
        </w:rPr>
        <w:t>徐成卫</w:t>
      </w:r>
      <w:r>
        <w:rPr>
          <w:rFonts w:hint="eastAsia" w:ascii="仿宋" w:hAnsi="仿宋" w:eastAsia="仿宋" w:cs="仿宋"/>
          <w:szCs w:val="24"/>
          <w:highlight w:val="yellow"/>
        </w:rPr>
        <w:t xml:space="preserve">    电话：</w:t>
      </w:r>
      <w:r>
        <w:rPr>
          <w:rFonts w:hint="eastAsia" w:ascii="仿宋" w:hAnsi="仿宋" w:eastAsia="仿宋" w:cs="仿宋"/>
          <w:szCs w:val="24"/>
          <w:highlight w:val="yellow"/>
          <w:lang w:val="en-US" w:eastAsia="zh-CN"/>
        </w:rPr>
        <w:t>18948780535</w:t>
      </w:r>
      <w:bookmarkStart w:id="0" w:name="_GoBack"/>
      <w:bookmarkEnd w:id="0"/>
    </w:p>
    <w:p>
      <w:pPr>
        <w:pStyle w:val="5"/>
        <w:shd w:val="clear" w:color="auto" w:fill="FFFFFF"/>
        <w:spacing w:beforeAutospacing="0" w:afterAutospacing="0" w:line="360" w:lineRule="auto"/>
        <w:jc w:val="both"/>
        <w:rPr>
          <w:rFonts w:hint="eastAsia" w:ascii="仿宋" w:hAnsi="仿宋" w:eastAsia="仿宋" w:cs="仿宋"/>
          <w:kern w:val="2"/>
          <w:szCs w:val="24"/>
        </w:rPr>
      </w:pPr>
    </w:p>
    <w:p>
      <w:pPr>
        <w:pStyle w:val="5"/>
        <w:shd w:val="clear" w:color="auto" w:fill="FFFFFF"/>
        <w:spacing w:beforeAutospacing="0" w:afterAutospacing="0" w:line="360" w:lineRule="auto"/>
        <w:jc w:val="both"/>
        <w:rPr>
          <w:rFonts w:hint="eastAsia" w:ascii="仿宋" w:hAnsi="仿宋" w:eastAsia="仿宋" w:cs="仿宋"/>
          <w:b/>
          <w:kern w:val="2"/>
          <w:szCs w:val="24"/>
        </w:rPr>
      </w:pPr>
      <w:r>
        <w:rPr>
          <w:rFonts w:hint="eastAsia" w:ascii="仿宋" w:hAnsi="仿宋" w:eastAsia="仿宋" w:cs="仿宋"/>
          <w:b/>
          <w:kern w:val="2"/>
          <w:szCs w:val="24"/>
        </w:rPr>
        <w:t>附录：需提交的资料</w:t>
      </w:r>
    </w:p>
    <w:p>
      <w:pPr>
        <w:pStyle w:val="5"/>
        <w:shd w:val="clear" w:color="auto" w:fill="FFFFFF"/>
        <w:spacing w:beforeAutospacing="0" w:afterAutospacing="0" w:line="360" w:lineRule="auto"/>
        <w:jc w:val="both"/>
        <w:rPr>
          <w:rFonts w:hint="eastAsia" w:ascii="仿宋" w:hAnsi="仿宋" w:eastAsia="仿宋" w:cs="仿宋"/>
          <w:kern w:val="2"/>
          <w:szCs w:val="24"/>
        </w:rPr>
      </w:pPr>
      <w:r>
        <w:rPr>
          <w:rFonts w:hint="eastAsia" w:ascii="仿宋" w:hAnsi="仿宋" w:eastAsia="仿宋" w:cs="仿宋"/>
          <w:kern w:val="2"/>
          <w:szCs w:val="24"/>
        </w:rPr>
        <w:t>1、方案报价</w:t>
      </w:r>
      <w:r>
        <w:rPr>
          <w:rFonts w:hint="eastAsia" w:ascii="仿宋" w:hAnsi="仿宋" w:eastAsia="仿宋" w:cs="仿宋"/>
          <w:kern w:val="2"/>
          <w:szCs w:val="24"/>
          <w:lang w:eastAsia="zh-CN"/>
        </w:rPr>
        <w:t>、</w:t>
      </w:r>
      <w:r>
        <w:rPr>
          <w:rFonts w:hint="eastAsia" w:ascii="仿宋" w:hAnsi="仿宋" w:eastAsia="仿宋" w:cs="仿宋"/>
          <w:kern w:val="2"/>
          <w:szCs w:val="24"/>
          <w:lang w:val="en-US" w:eastAsia="zh-CN"/>
        </w:rPr>
        <w:t>联系人、联系电话</w:t>
      </w:r>
      <w:r>
        <w:rPr>
          <w:rFonts w:hint="eastAsia" w:ascii="仿宋" w:hAnsi="仿宋" w:eastAsia="仿宋" w:cs="仿宋"/>
          <w:kern w:val="2"/>
          <w:szCs w:val="24"/>
        </w:rPr>
        <w:t>。</w:t>
      </w:r>
    </w:p>
    <w:p>
      <w:pPr>
        <w:pStyle w:val="5"/>
        <w:shd w:val="clear" w:color="auto" w:fill="FFFFFF"/>
        <w:spacing w:beforeAutospacing="0" w:afterAutospacing="0" w:line="360" w:lineRule="auto"/>
        <w:jc w:val="both"/>
        <w:rPr>
          <w:rFonts w:hint="eastAsia" w:ascii="仿宋" w:hAnsi="仿宋" w:eastAsia="仿宋" w:cs="仿宋"/>
          <w:kern w:val="2"/>
          <w:szCs w:val="24"/>
        </w:rPr>
      </w:pPr>
      <w:r>
        <w:rPr>
          <w:rFonts w:hint="eastAsia" w:ascii="仿宋" w:hAnsi="仿宋" w:eastAsia="仿宋" w:cs="仿宋"/>
          <w:kern w:val="2"/>
          <w:szCs w:val="24"/>
        </w:rPr>
        <w:t>2、营业执照（或事业单位法人证书，或社会团体法人登记证书，或执业许可证）、组织机构代码证和税务登记证复印件，或者“三证合一”复印件。</w:t>
      </w:r>
    </w:p>
    <w:p>
      <w:pPr>
        <w:pStyle w:val="5"/>
        <w:shd w:val="clear" w:color="auto" w:fill="FFFFFF"/>
        <w:spacing w:beforeAutospacing="0" w:afterAutospacing="0" w:line="360" w:lineRule="auto"/>
        <w:jc w:val="both"/>
        <w:rPr>
          <w:rFonts w:hint="eastAsia" w:ascii="仿宋" w:hAnsi="仿宋" w:eastAsia="仿宋" w:cs="仿宋"/>
          <w:kern w:val="2"/>
          <w:szCs w:val="24"/>
        </w:rPr>
      </w:pPr>
      <w:r>
        <w:rPr>
          <w:rFonts w:hint="eastAsia" w:ascii="仿宋" w:hAnsi="仿宋" w:eastAsia="仿宋" w:cs="仿宋"/>
          <w:kern w:val="2"/>
          <w:szCs w:val="24"/>
        </w:rPr>
        <w:t>3、项目解决方案。</w:t>
      </w:r>
    </w:p>
    <w:p>
      <w:pPr>
        <w:pStyle w:val="5"/>
        <w:shd w:val="clear" w:color="auto" w:fill="FFFFFF"/>
        <w:spacing w:beforeAutospacing="0" w:afterAutospacing="0" w:line="360" w:lineRule="auto"/>
        <w:jc w:val="both"/>
        <w:rPr>
          <w:rFonts w:hint="eastAsia" w:ascii="仿宋" w:hAnsi="仿宋" w:eastAsia="仿宋" w:cs="仿宋"/>
          <w:kern w:val="2"/>
          <w:szCs w:val="24"/>
        </w:rPr>
      </w:pPr>
      <w:r>
        <w:rPr>
          <w:rFonts w:hint="eastAsia" w:ascii="仿宋" w:hAnsi="仿宋" w:eastAsia="仿宋" w:cs="仿宋"/>
          <w:kern w:val="2"/>
          <w:szCs w:val="24"/>
          <w:lang w:val="en-US" w:eastAsia="zh-CN"/>
        </w:rPr>
        <w:t>4</w:t>
      </w:r>
      <w:r>
        <w:rPr>
          <w:rFonts w:hint="eastAsia" w:ascii="仿宋" w:hAnsi="仿宋" w:eastAsia="仿宋" w:cs="仿宋"/>
          <w:kern w:val="2"/>
          <w:szCs w:val="24"/>
        </w:rPr>
        <w:t>、每份资料均要加盖公章。</w:t>
      </w:r>
    </w:p>
    <w:p>
      <w:pPr>
        <w:pStyle w:val="5"/>
        <w:shd w:val="clear" w:color="auto" w:fill="FFFFFF"/>
        <w:spacing w:beforeAutospacing="0" w:afterAutospacing="0" w:line="360" w:lineRule="auto"/>
        <w:jc w:val="both"/>
        <w:rPr>
          <w:rFonts w:hint="eastAsia" w:ascii="仿宋" w:hAnsi="仿宋" w:eastAsia="仿宋" w:cs="仿宋"/>
          <w:kern w:val="2"/>
          <w:szCs w:val="24"/>
        </w:rPr>
      </w:pPr>
    </w:p>
    <w:sectPr>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auto"/>
    <w:pitch w:val="default"/>
    <w:sig w:usb0="E00006FF" w:usb1="420024FF" w:usb2="02000000" w:usb3="00000000" w:csb0="2000019F" w:csb1="00000000"/>
  </w:font>
  <w:font w:name="华文宋体">
    <w:panose1 w:val="02010600040101010101"/>
    <w:charset w:val="86"/>
    <w:family w:val="auto"/>
    <w:pitch w:val="default"/>
    <w:sig w:usb0="00000287" w:usb1="080F0000" w:usb2="00000000" w:usb3="00000000" w:csb0="0004009F" w:csb1="DFD70000"/>
  </w:font>
  <w:font w:name="华文彩云">
    <w:panose1 w:val="02010800040101010101"/>
    <w:charset w:val="86"/>
    <w:family w:val="auto"/>
    <w:pitch w:val="default"/>
    <w:sig w:usb0="00000001" w:usb1="080F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670F15"/>
    <w:multiLevelType w:val="singleLevel"/>
    <w:tmpl w:val="F7670F15"/>
    <w:lvl w:ilvl="0" w:tentative="0">
      <w:start w:val="1"/>
      <w:numFmt w:val="decimal"/>
      <w:suff w:val="nothing"/>
      <w:lvlText w:val="%1）"/>
      <w:lvlJc w:val="left"/>
    </w:lvl>
  </w:abstractNum>
  <w:abstractNum w:abstractNumId="1">
    <w:nsid w:val="1ABB1C62"/>
    <w:multiLevelType w:val="multilevel"/>
    <w:tmpl w:val="1ABB1C62"/>
    <w:lvl w:ilvl="0" w:tentative="0">
      <w:start w:val="1"/>
      <w:numFmt w:val="japaneseCounting"/>
      <w:lvlText w:val="%1、"/>
      <w:lvlJc w:val="left"/>
      <w:pPr>
        <w:ind w:left="2422"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5FC61453"/>
    <w:multiLevelType w:val="singleLevel"/>
    <w:tmpl w:val="5FC61453"/>
    <w:lvl w:ilvl="0" w:tentative="0">
      <w:start w:val="1"/>
      <w:numFmt w:val="decimal"/>
      <w:suff w:val="nothing"/>
      <w:lvlText w:val="%1）"/>
      <w:lvlJc w:val="left"/>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A3B77E9"/>
    <w:rsid w:val="5FFDBDC6"/>
    <w:rsid w:val="62AF6442"/>
    <w:rsid w:val="67592B85"/>
    <w:rsid w:val="7FDFF276"/>
    <w:rsid w:val="DEFF96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7">
    <w:name w:val="Default Paragraph Font"/>
    <w:unhideWhenUsed/>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annotation text"/>
    <w:basedOn w:val="1"/>
    <w:unhideWhenUsed/>
    <w:qFormat/>
    <w:uiPriority w:val="0"/>
    <w:pPr>
      <w:jc w:val="left"/>
    </w:pPr>
    <w:rPr>
      <w:rFonts w:ascii="Calibri" w:hAnsi="Calibri"/>
      <w:szCs w:val="22"/>
    </w:rPr>
  </w:style>
  <w:style w:type="paragraph" w:styleId="3">
    <w:name w:val="footer"/>
    <w:basedOn w:val="1"/>
    <w:link w:val="10"/>
    <w:unhideWhenUsed/>
    <w:qFormat/>
    <w:uiPriority w:val="99"/>
    <w:pPr>
      <w:tabs>
        <w:tab w:val="center" w:pos="4153"/>
        <w:tab w:val="right" w:pos="8306"/>
      </w:tabs>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qFormat/>
    <w:uiPriority w:val="0"/>
    <w:pPr>
      <w:widowControl w:val="0"/>
      <w:adjustRightInd/>
      <w:snapToGrid/>
      <w:spacing w:beforeAutospacing="1" w:after="0" w:afterAutospacing="1"/>
    </w:pPr>
    <w:rPr>
      <w:rFonts w:ascii="Calibri" w:hAnsi="Calibri" w:eastAsia="宋体" w:cs="Times New Roman"/>
      <w:sz w:val="24"/>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页眉字符"/>
    <w:basedOn w:val="7"/>
    <w:link w:val="4"/>
    <w:qFormat/>
    <w:uiPriority w:val="99"/>
    <w:rPr>
      <w:rFonts w:ascii="Tahoma" w:hAnsi="Tahoma"/>
      <w:sz w:val="18"/>
      <w:szCs w:val="18"/>
    </w:rPr>
  </w:style>
  <w:style w:type="character" w:customStyle="1" w:styleId="10">
    <w:name w:val="页脚字符"/>
    <w:basedOn w:val="7"/>
    <w:link w:val="3"/>
    <w:qFormat/>
    <w:uiPriority w:val="99"/>
    <w:rPr>
      <w:rFonts w:ascii="Tahoma" w:hAnsi="Tahoma"/>
      <w:sz w:val="18"/>
      <w:szCs w:val="18"/>
    </w:rPr>
  </w:style>
  <w:style w:type="paragraph" w:customStyle="1" w:styleId="11">
    <w:name w:val="List Paragraph"/>
    <w:basedOn w:val="1"/>
    <w:qFormat/>
    <w:uiPriority w:val="34"/>
    <w:pPr>
      <w:ind w:firstLine="420" w:firstLineChars="200"/>
    </w:pPr>
  </w:style>
  <w:style w:type="character" w:customStyle="1" w:styleId="12">
    <w:name w:val="font21"/>
    <w:basedOn w:val="7"/>
    <w:qFormat/>
    <w:uiPriority w:val="0"/>
    <w:rPr>
      <w:rFonts w:hint="eastAsia" w:ascii="宋体" w:hAnsi="宋体" w:eastAsia="宋体" w:cs="宋体"/>
      <w:color w:val="000000"/>
      <w:sz w:val="21"/>
      <w:szCs w:val="21"/>
      <w:u w:val="none"/>
    </w:rPr>
  </w:style>
  <w:style w:type="character" w:customStyle="1" w:styleId="13">
    <w:name w:val="font11"/>
    <w:basedOn w:val="7"/>
    <w:qFormat/>
    <w:uiPriority w:val="0"/>
    <w:rPr>
      <w:rFonts w:hint="default" w:ascii="Calibri" w:hAnsi="Calibri" w:cs="Calibri"/>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1225</Words>
  <Characters>1291</Characters>
  <Lines>9</Lines>
  <Paragraphs>2</Paragraphs>
  <TotalTime>2</TotalTime>
  <ScaleCrop>false</ScaleCrop>
  <LinksUpToDate>false</LinksUpToDate>
  <CharactersWithSpaces>1300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2024-05-07T23:39:00Z</dcterms:created>
  <dc:creator>Administrator</dc:creator>
  <cp:lastModifiedBy>rrrad</cp:lastModifiedBy>
  <dcterms:modified xsi:type="dcterms:W3CDTF">2026-10-10T00:54:35Z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eyJoZGlkIjoiNDIzY2QxZjdhYzkyY2ZkZjIwMjEyZGNmZWQxOTI3ZTEiLCJ1c2VySWQiOiIyNDU0MDQ4MzEifQ==</vt:lpwstr>
  </property>
  <property fmtid="{D5CDD505-2E9C-101B-9397-08002B2CF9AE}" pid="3" name="KSOProductBuildVer">
    <vt:lpwstr>2052-11.8.2.12094</vt:lpwstr>
  </property>
  <property fmtid="{D5CDD505-2E9C-101B-9397-08002B2CF9AE}" pid="4" name="ICV">
    <vt:lpwstr>AB80F7F38D534AEBA850A2D2E0EFCA40</vt:lpwstr>
  </property>
</Properties>
</file>