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C42AC">
      <w:pPr>
        <w:jc w:val="center"/>
        <w:rPr>
          <w:rFonts w:ascii="黑体" w:hAnsi="黑体" w:eastAsia="黑体"/>
          <w:sz w:val="44"/>
          <w:szCs w:val="44"/>
          <w:highlight w:val="none"/>
        </w:rPr>
      </w:pP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自行招标项目</w:t>
      </w:r>
      <w:r>
        <w:rPr>
          <w:rFonts w:hint="eastAsia" w:ascii="黑体" w:hAnsi="黑体" w:eastAsia="黑体"/>
          <w:sz w:val="44"/>
          <w:szCs w:val="44"/>
          <w:highlight w:val="none"/>
        </w:rPr>
        <w:t>需求编制</w:t>
      </w: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（其他采购）</w:t>
      </w:r>
    </w:p>
    <w:p w14:paraId="1B49C2C1">
      <w:pPr>
        <w:pStyle w:val="14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项目基本情况</w:t>
      </w:r>
    </w:p>
    <w:p w14:paraId="19F76D04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内镜中心经鼻内镜大修</w:t>
      </w:r>
    </w:p>
    <w:p w14:paraId="3159F1BD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项目预算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12万元</w:t>
      </w:r>
    </w:p>
    <w:p w14:paraId="752E2AC0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总价</w:t>
      </w:r>
    </w:p>
    <w:p w14:paraId="43A2033A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资金来源：单位资金</w:t>
      </w:r>
    </w:p>
    <w:p w14:paraId="0444FBD3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采购类别：服务</w:t>
      </w:r>
    </w:p>
    <w:p w14:paraId="394FBE4B">
      <w:pPr>
        <w:pStyle w:val="14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365D9CC">
      <w:pPr>
        <w:pStyle w:val="1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）采购项目需实现的功能和目标：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none"/>
          <w:lang w:val="en-US" w:eastAsia="zh-CN"/>
        </w:rPr>
        <w:t>内镜中心经鼻内镜大修，故障内镜经维修后可以正常使用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。</w:t>
      </w:r>
    </w:p>
    <w:p w14:paraId="18BB3F1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（二）项目属性：</w:t>
      </w:r>
    </w:p>
    <w:p w14:paraId="6270BB29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是否适宜由中小企业提供，并专门面向中小企业采购 </w:t>
      </w:r>
    </w:p>
    <w:p w14:paraId="19C8F142"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(1)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是         □是否仅面向小微企业</w:t>
      </w:r>
    </w:p>
    <w:p w14:paraId="41D03029">
      <w:pPr>
        <w:numPr>
          <w:ilvl w:val="0"/>
          <w:numId w:val="0"/>
        </w:numPr>
        <w:spacing w:line="360" w:lineRule="auto"/>
        <w:ind w:left="425" w:leftChars="0" w:hanging="425" w:firstLineChars="0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highlight w:val="none"/>
          <w:lang w:val="en-US" w:eastAsia="zh-CN" w:bidi="ar-SA"/>
        </w:rPr>
        <w:t>(2)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否，原因说明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因本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需维修的电子内镜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>的生产方是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境外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>企业，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为奥林巴斯医疗株式会社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eastAsia="zh-CN"/>
        </w:rPr>
        <w:t>，所以本项目非专门面向中小企业采购。</w:t>
      </w:r>
    </w:p>
    <w:p w14:paraId="55EE44AB"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联合体投标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否</w:t>
      </w:r>
    </w:p>
    <w:p w14:paraId="364C725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）采购标的汇总表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：</w:t>
      </w:r>
    </w:p>
    <w:tbl>
      <w:tblPr>
        <w:tblStyle w:val="9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505"/>
        <w:gridCol w:w="1229"/>
        <w:gridCol w:w="887"/>
        <w:gridCol w:w="1486"/>
        <w:gridCol w:w="1355"/>
      </w:tblGrid>
      <w:tr w14:paraId="6E6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210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0C93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D1646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品目 （政府采购品目分类目录）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AC5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7FAF82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86" w:type="dxa"/>
            <w:shd w:val="clear" w:color="auto" w:fill="FFFFFF"/>
            <w:vAlign w:val="center"/>
          </w:tcPr>
          <w:p w14:paraId="6D69B6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  <w:p w14:paraId="0727C6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5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1CE4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是否进口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F7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0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AF4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内镜中心经鼻内镜大修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794CE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C23120500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D4CB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项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6888F0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86" w:type="dxa"/>
            <w:shd w:val="clear" w:color="auto" w:fill="FFFFFF"/>
            <w:vAlign w:val="center"/>
          </w:tcPr>
          <w:p w14:paraId="4C305F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12万元</w:t>
            </w:r>
          </w:p>
        </w:tc>
        <w:tc>
          <w:tcPr>
            <w:tcW w:w="135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56278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-</w:t>
            </w:r>
          </w:p>
        </w:tc>
      </w:tr>
    </w:tbl>
    <w:p w14:paraId="0E3F5DE1">
      <w:pPr>
        <w:numPr>
          <w:ilvl w:val="0"/>
          <w:numId w:val="0"/>
        </w:num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按照规定及项目情况设置投标供应商资格要求：</w:t>
      </w:r>
    </w:p>
    <w:p w14:paraId="0066A8B1">
      <w:pPr>
        <w:numPr>
          <w:ilvl w:val="0"/>
          <w:numId w:val="5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投标人具有独立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法人资格或是具有独立承担民事责任能力的其它组织， “三证合一”的《营业执照》</w:t>
      </w:r>
    </w:p>
    <w:p w14:paraId="4EEEB5CB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：</w:t>
      </w:r>
    </w:p>
    <w:p w14:paraId="6D6240F6">
      <w:pPr>
        <w:numPr>
          <w:ilvl w:val="0"/>
          <w:numId w:val="5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技术要求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</w:p>
    <w:p w14:paraId="214C380F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(1)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内镜中心经鼻内镜大修</w:t>
      </w:r>
    </w:p>
    <w:p w14:paraId="2A850126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(2)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设备明细：</w:t>
      </w:r>
    </w:p>
    <w:tbl>
      <w:tblPr>
        <w:tblStyle w:val="10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366"/>
        <w:gridCol w:w="2223"/>
        <w:gridCol w:w="2031"/>
      </w:tblGrid>
      <w:tr w14:paraId="22FF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3" w:type="dxa"/>
            <w:vAlign w:val="center"/>
          </w:tcPr>
          <w:p w14:paraId="524701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366" w:type="dxa"/>
            <w:vAlign w:val="center"/>
          </w:tcPr>
          <w:p w14:paraId="77DF2EA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2223" w:type="dxa"/>
            <w:vAlign w:val="center"/>
          </w:tcPr>
          <w:p w14:paraId="1DAB968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2031" w:type="dxa"/>
            <w:vAlign w:val="center"/>
          </w:tcPr>
          <w:p w14:paraId="2FDF31C6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0E29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3" w:type="dxa"/>
            <w:vAlign w:val="center"/>
          </w:tcPr>
          <w:p w14:paraId="76CC45C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741DCBE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经鼻内镜</w:t>
            </w:r>
          </w:p>
        </w:tc>
        <w:tc>
          <w:tcPr>
            <w:tcW w:w="2223" w:type="dxa"/>
            <w:vAlign w:val="center"/>
          </w:tcPr>
          <w:p w14:paraId="1D2A162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GIF-XP290N</w:t>
            </w:r>
          </w:p>
        </w:tc>
        <w:tc>
          <w:tcPr>
            <w:tcW w:w="2031" w:type="dxa"/>
            <w:vAlign w:val="center"/>
          </w:tcPr>
          <w:p w14:paraId="7708C37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1条</w:t>
            </w:r>
          </w:p>
        </w:tc>
      </w:tr>
    </w:tbl>
    <w:p w14:paraId="55185129">
      <w:pPr>
        <w:numPr>
          <w:ilvl w:val="0"/>
          <w:numId w:val="0"/>
        </w:numPr>
        <w:ind w:left="425" w:leftChars="0" w:hanging="425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(3) 服务内容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tbl>
      <w:tblPr>
        <w:tblStyle w:val="10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287"/>
        <w:gridCol w:w="2365"/>
        <w:gridCol w:w="1932"/>
      </w:tblGrid>
      <w:tr w14:paraId="39A2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4" w:type="dxa"/>
          </w:tcPr>
          <w:p w14:paraId="6509C8F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287" w:type="dxa"/>
          </w:tcPr>
          <w:p w14:paraId="5389065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更换配件名称</w:t>
            </w:r>
          </w:p>
        </w:tc>
        <w:tc>
          <w:tcPr>
            <w:tcW w:w="2365" w:type="dxa"/>
          </w:tcPr>
          <w:p w14:paraId="2190EFF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1932" w:type="dxa"/>
          </w:tcPr>
          <w:p w14:paraId="6FE0C4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237A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4" w:type="dxa"/>
          </w:tcPr>
          <w:p w14:paraId="750727A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87" w:type="dxa"/>
            <w:vAlign w:val="center"/>
          </w:tcPr>
          <w:p w14:paraId="775E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NS组件/插入部组件</w:t>
            </w:r>
          </w:p>
        </w:tc>
        <w:tc>
          <w:tcPr>
            <w:tcW w:w="2365" w:type="dxa"/>
            <w:vAlign w:val="center"/>
          </w:tcPr>
          <w:p w14:paraId="4B1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RU534500</w:t>
            </w:r>
          </w:p>
        </w:tc>
        <w:tc>
          <w:tcPr>
            <w:tcW w:w="1932" w:type="dxa"/>
          </w:tcPr>
          <w:p w14:paraId="0AB93D8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20C0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4" w:type="dxa"/>
          </w:tcPr>
          <w:p w14:paraId="00F27E6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87" w:type="dxa"/>
            <w:vAlign w:val="center"/>
          </w:tcPr>
          <w:p w14:paraId="10EA2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内窥镜保护像朔（橡胶）</w:t>
            </w:r>
          </w:p>
        </w:tc>
        <w:tc>
          <w:tcPr>
            <w:tcW w:w="2365" w:type="dxa"/>
            <w:vAlign w:val="center"/>
          </w:tcPr>
          <w:p w14:paraId="17A678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GJ676300</w:t>
            </w:r>
          </w:p>
        </w:tc>
        <w:tc>
          <w:tcPr>
            <w:tcW w:w="1932" w:type="dxa"/>
          </w:tcPr>
          <w:p w14:paraId="071E9E0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266A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4" w:type="dxa"/>
          </w:tcPr>
          <w:p w14:paraId="3D393BE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287" w:type="dxa"/>
            <w:vAlign w:val="center"/>
          </w:tcPr>
          <w:p w14:paraId="28677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内窥镜专用开关(非电路)</w:t>
            </w:r>
          </w:p>
        </w:tc>
        <w:tc>
          <w:tcPr>
            <w:tcW w:w="2365" w:type="dxa"/>
            <w:vAlign w:val="center"/>
          </w:tcPr>
          <w:p w14:paraId="4BE377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GV173600</w:t>
            </w:r>
          </w:p>
        </w:tc>
        <w:tc>
          <w:tcPr>
            <w:tcW w:w="1932" w:type="dxa"/>
          </w:tcPr>
          <w:p w14:paraId="08849C3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20DE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4" w:type="dxa"/>
          </w:tcPr>
          <w:p w14:paraId="11A2C8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287" w:type="dxa"/>
            <w:vAlign w:val="center"/>
          </w:tcPr>
          <w:p w14:paraId="3547E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插头U</w:t>
            </w:r>
          </w:p>
        </w:tc>
        <w:tc>
          <w:tcPr>
            <w:tcW w:w="2365" w:type="dxa"/>
            <w:vAlign w:val="center"/>
          </w:tcPr>
          <w:p w14:paraId="7CDC55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RU675700</w:t>
            </w:r>
          </w:p>
        </w:tc>
        <w:tc>
          <w:tcPr>
            <w:tcW w:w="1932" w:type="dxa"/>
          </w:tcPr>
          <w:p w14:paraId="4A04D8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</w:tbl>
    <w:p w14:paraId="42562BFD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需求配件要求：维修更换配件要求全新配件且渠道正规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。</w:t>
      </w:r>
    </w:p>
    <w:p w14:paraId="1AD6BB49">
      <w:pPr>
        <w:numPr>
          <w:ilvl w:val="0"/>
          <w:numId w:val="6"/>
        </w:numPr>
        <w:ind w:left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维修更换完成后需对设备进行测试调试保证正常使用。</w:t>
      </w:r>
    </w:p>
    <w:p w14:paraId="21230C9A">
      <w:pPr>
        <w:numPr>
          <w:ilvl w:val="0"/>
          <w:numId w:val="5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商务要求：</w:t>
      </w:r>
    </w:p>
    <w:p w14:paraId="58A72CB6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维修服务期（天）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20个工作日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206B3360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院本部一号楼二楼内镜中心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4B9E9F39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付款进度和方式：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出具通知书后，投标人到采购人指定地点对维修完成的设备进行安装调试，服务完成后采购人收到投标人提供的相应金额合法有效发票后10日内付款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。</w:t>
      </w:r>
    </w:p>
    <w:p w14:paraId="1F4F3423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包装运输：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外包装到货时应完好无损，外包装破损时采购人有权拒收，由此产生的其他费用由投标人承担，（包括但不限于运输费、装卸费、保管费等）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3C8FE1CE">
      <w:pPr>
        <w:numPr>
          <w:ilvl w:val="0"/>
          <w:numId w:val="7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售后服务：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更换配件保修6个月，保修期内非人为破坏情况下更换配件出现质量问题，由投标人免费维修或更换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696ED3DE">
      <w:pPr>
        <w:pStyle w:val="2"/>
        <w:numPr>
          <w:ilvl w:val="0"/>
          <w:numId w:val="0"/>
        </w:numPr>
        <w:spacing w:before="0" w:after="0" w:line="240" w:lineRule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评审规则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综合评标法</w:t>
      </w:r>
    </w:p>
    <w:p w14:paraId="7D98FF9F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仿宋" w:hAnsi="仿宋" w:eastAsia="仿宋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5F20E48C">
      <w:pPr>
        <w:adjustRightInd w:val="0"/>
        <w:snapToGrid w:val="0"/>
        <w:jc w:val="left"/>
        <w:rPr>
          <w:rFonts w:hint="eastAsia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9A2EE9-C43D-4D6D-BB71-1E244AF71E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6FDC1A-DA22-4682-BF68-8E073041E3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735BBAD-F74D-4AE3-8153-117AC0408FC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E470B9A-AC16-43BD-91F5-BA28CC36FF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11098A6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67174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single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0737CCD"/>
    <w:multiLevelType w:val="singleLevel"/>
    <w:tmpl w:val="E0737CCD"/>
    <w:lvl w:ilvl="0" w:tentative="0">
      <w:start w:val="4"/>
      <w:numFmt w:val="decimal"/>
      <w:suff w:val="nothing"/>
      <w:lvlText w:val="（%1）"/>
      <w:lvlJc w:val="left"/>
    </w:lvl>
  </w:abstractNum>
  <w:abstractNum w:abstractNumId="4">
    <w:nsid w:val="EC737CDF"/>
    <w:multiLevelType w:val="singleLevel"/>
    <w:tmpl w:val="EC737C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NzhhZWVjZDVjYzFiNzUyN2FlYmU1YTIwNTA2N2MifQ=="/>
  </w:docVars>
  <w:rsids>
    <w:rsidRoot w:val="00681410"/>
    <w:rsid w:val="0002072A"/>
    <w:rsid w:val="00061E07"/>
    <w:rsid w:val="00085902"/>
    <w:rsid w:val="00160CAF"/>
    <w:rsid w:val="00162818"/>
    <w:rsid w:val="00216720"/>
    <w:rsid w:val="002277A4"/>
    <w:rsid w:val="00681410"/>
    <w:rsid w:val="0078244A"/>
    <w:rsid w:val="008914B7"/>
    <w:rsid w:val="00B97AED"/>
    <w:rsid w:val="00C9106E"/>
    <w:rsid w:val="00F43941"/>
    <w:rsid w:val="04D01847"/>
    <w:rsid w:val="069C69C9"/>
    <w:rsid w:val="0C6A7D1D"/>
    <w:rsid w:val="0D532C76"/>
    <w:rsid w:val="0EB675BA"/>
    <w:rsid w:val="11A66EFE"/>
    <w:rsid w:val="151D70DD"/>
    <w:rsid w:val="1C4A5F2B"/>
    <w:rsid w:val="1D5B43C7"/>
    <w:rsid w:val="1E457BD8"/>
    <w:rsid w:val="23070E00"/>
    <w:rsid w:val="2410577B"/>
    <w:rsid w:val="268A3AF4"/>
    <w:rsid w:val="28F811E9"/>
    <w:rsid w:val="2B033E75"/>
    <w:rsid w:val="2BCD5A3D"/>
    <w:rsid w:val="2CBA4A07"/>
    <w:rsid w:val="30B42BAA"/>
    <w:rsid w:val="312A0667"/>
    <w:rsid w:val="31BC3D81"/>
    <w:rsid w:val="33817008"/>
    <w:rsid w:val="33E40DC1"/>
    <w:rsid w:val="345D1B1D"/>
    <w:rsid w:val="386B2CF7"/>
    <w:rsid w:val="38CE012E"/>
    <w:rsid w:val="39BA3A1B"/>
    <w:rsid w:val="3BE455FD"/>
    <w:rsid w:val="3F786788"/>
    <w:rsid w:val="3F7A7DEF"/>
    <w:rsid w:val="418F2299"/>
    <w:rsid w:val="41B02218"/>
    <w:rsid w:val="47946129"/>
    <w:rsid w:val="493279A7"/>
    <w:rsid w:val="495A5685"/>
    <w:rsid w:val="4ADC6973"/>
    <w:rsid w:val="4C4243A5"/>
    <w:rsid w:val="4E7116BE"/>
    <w:rsid w:val="4F624D5E"/>
    <w:rsid w:val="519B3B39"/>
    <w:rsid w:val="539D45B7"/>
    <w:rsid w:val="559A4936"/>
    <w:rsid w:val="58C2055F"/>
    <w:rsid w:val="59266DFD"/>
    <w:rsid w:val="5BC052E6"/>
    <w:rsid w:val="5CA75160"/>
    <w:rsid w:val="5D810856"/>
    <w:rsid w:val="5EAB58B8"/>
    <w:rsid w:val="671E7D4C"/>
    <w:rsid w:val="68374F5E"/>
    <w:rsid w:val="6BDA2FEE"/>
    <w:rsid w:val="6C70102E"/>
    <w:rsid w:val="6D282CEC"/>
    <w:rsid w:val="6E0472B5"/>
    <w:rsid w:val="722515A8"/>
    <w:rsid w:val="74386262"/>
    <w:rsid w:val="74974D88"/>
    <w:rsid w:val="74B15375"/>
    <w:rsid w:val="793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line="240" w:lineRule="auto"/>
      <w:ind w:left="420" w:leftChars="200"/>
    </w:pPr>
    <w:rPr>
      <w:rFonts w:ascii="Times New Roman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1924</Words>
  <Characters>2070</Characters>
  <Lines>7</Lines>
  <Paragraphs>2</Paragraphs>
  <TotalTime>11</TotalTime>
  <ScaleCrop>false</ScaleCrop>
  <LinksUpToDate>false</LinksUpToDate>
  <CharactersWithSpaces>2098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2024-01-10T08:47:00Z</dcterms:created>
  <dc:creator>wdh</dc:creator>
  <cp:lastModifiedBy>JH</cp:lastModifiedBy>
  <dcterms:modified xsi:type="dcterms:W3CDTF">2025-09-19T07:49:30Z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2CFFE023F56346B0B1ACB56469D4F4A1_13</vt:lpwstr>
  </property>
  <property fmtid="{D5CDD505-2E9C-101B-9397-08002B2CF9AE}" pid="4" name="KSOTemplateDocerSaveRecord">
    <vt:lpwstr>eyJoZGlkIjoiOTgxNzhhZWVjZDVjYzFiNzUyN2FlYmU1YTIwNTA2N2MiLCJ1c2VySWQiOiIxMTI2ODg3MDA2In0=</vt:lpwstr>
  </property>
</Properties>
</file>