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9C2C1">
      <w:pPr>
        <w:pStyle w:val="11"/>
        <w:widowControl/>
        <w:numPr>
          <w:ilvl w:val="0"/>
          <w:numId w:val="1"/>
        </w:numPr>
        <w:spacing w:line="360" w:lineRule="auto"/>
        <w:jc w:val="lef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项目基本情况</w:t>
      </w:r>
    </w:p>
    <w:p w14:paraId="60857025">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项目名称</w:t>
      </w:r>
      <w:r>
        <w:rPr>
          <w:rFonts w:hint="eastAsia" w:ascii="仿宋_GB2312" w:hAnsi="仿宋_GB2312" w:eastAsia="仿宋_GB2312" w:cs="仿宋_GB2312"/>
          <w:kern w:val="0"/>
          <w:sz w:val="28"/>
          <w:szCs w:val="28"/>
          <w:lang w:eastAsia="zh-CN"/>
        </w:rPr>
        <w:t>：智能安检设备采购安装项目</w:t>
      </w:r>
    </w:p>
    <w:p w14:paraId="3159F1BD">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项目预算</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10万元</w:t>
      </w:r>
    </w:p>
    <w:p w14:paraId="752E2AC0">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w:t>
      </w:r>
      <w:r>
        <w:rPr>
          <w:rFonts w:hint="eastAsia" w:ascii="仿宋_GB2312" w:hAnsi="仿宋_GB2312" w:eastAsia="仿宋_GB2312" w:cs="仿宋_GB2312"/>
          <w:kern w:val="0"/>
          <w:sz w:val="28"/>
          <w:szCs w:val="28"/>
          <w:lang w:val="en-US" w:eastAsia="zh-CN"/>
        </w:rPr>
        <w:t>报价类型</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总价</w:t>
      </w:r>
    </w:p>
    <w:p w14:paraId="43A2033A">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资金来源：政府预算资金</w:t>
      </w:r>
    </w:p>
    <w:p w14:paraId="0444FBD3">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采购类别（货物/服务/工程）：货物</w:t>
      </w:r>
    </w:p>
    <w:p w14:paraId="394FBE4B">
      <w:pPr>
        <w:pStyle w:val="11"/>
        <w:widowControl/>
        <w:numPr>
          <w:ilvl w:val="0"/>
          <w:numId w:val="1"/>
        </w:numPr>
        <w:spacing w:line="360" w:lineRule="auto"/>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项目</w:t>
      </w:r>
      <w:r>
        <w:rPr>
          <w:rFonts w:hint="eastAsia" w:ascii="仿宋_GB2312" w:hAnsi="仿宋_GB2312" w:eastAsia="仿宋_GB2312" w:cs="仿宋_GB2312"/>
          <w:b/>
          <w:color w:val="000000" w:themeColor="text1"/>
          <w:kern w:val="0"/>
          <w:sz w:val="28"/>
          <w:szCs w:val="28"/>
          <w14:textFill>
            <w14:solidFill>
              <w14:schemeClr w14:val="tx1"/>
            </w14:solidFill>
          </w14:textFill>
        </w:rPr>
        <w:t>采购需求</w:t>
      </w:r>
      <w:r>
        <w:rPr>
          <w:rFonts w:hint="eastAsia" w:ascii="仿宋_GB2312" w:hAnsi="仿宋_GB2312" w:eastAsia="仿宋_GB2312" w:cs="仿宋_GB2312"/>
          <w:b/>
          <w:color w:val="000000" w:themeColor="text1"/>
          <w:kern w:val="0"/>
          <w:sz w:val="28"/>
          <w:szCs w:val="28"/>
          <w:lang w:eastAsia="zh-CN"/>
          <w14:textFill>
            <w14:solidFill>
              <w14:schemeClr w14:val="tx1"/>
            </w14:solidFill>
          </w14:textFill>
        </w:rPr>
        <w:t>：</w:t>
      </w:r>
    </w:p>
    <w:p w14:paraId="5365D9CC">
      <w:pPr>
        <w:pStyle w:val="11"/>
        <w:widowControl/>
        <w:numPr>
          <w:ilvl w:val="0"/>
          <w:numId w:val="0"/>
        </w:numPr>
        <w:spacing w:line="360" w:lineRule="auto"/>
        <w:ind w:leftChars="0"/>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）采购项目需实现的功能和目标：</w:t>
      </w:r>
      <w:r>
        <w:rPr>
          <w:rFonts w:hint="eastAsia" w:ascii="仿宋_GB2312" w:hAnsi="仿宋_GB2312" w:eastAsia="仿宋_GB2312" w:cs="仿宋_GB2312"/>
          <w:sz w:val="28"/>
          <w:szCs w:val="28"/>
          <w:u w:val="single"/>
          <w:lang w:val="en-US" w:eastAsia="zh-CN"/>
        </w:rPr>
        <w:t xml:space="preserve"> 因公安部门对我院开展反恐检查，需要在2号楼出入口配置安检设备。</w:t>
      </w:r>
    </w:p>
    <w:p w14:paraId="18BB3F1B">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（二）项目属性：</w:t>
      </w:r>
    </w:p>
    <w:p w14:paraId="6270BB29">
      <w:pPr>
        <w:numPr>
          <w:ilvl w:val="0"/>
          <w:numId w:val="3"/>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19C8F142">
      <w:pPr>
        <w:numPr>
          <w:ilvl w:val="0"/>
          <w:numId w:val="4"/>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         □是否仅面向小微企业</w:t>
      </w:r>
    </w:p>
    <w:p w14:paraId="41D03029">
      <w:pPr>
        <w:numPr>
          <w:ilvl w:val="0"/>
          <w:numId w:val="4"/>
        </w:numPr>
        <w:spacing w:line="360" w:lineRule="auto"/>
        <w:ind w:left="425" w:leftChars="0" w:hanging="425" w:firstLineChars="0"/>
        <w:rPr>
          <w:rFonts w:ascii="仿宋" w:hAnsi="仿宋" w:eastAsia="仿宋"/>
          <w:sz w:val="28"/>
          <w:szCs w:val="28"/>
          <w:u w:val="single"/>
        </w:rPr>
      </w:pPr>
      <w:r>
        <w:rPr>
          <w:rFonts w:hint="eastAsia" w:ascii="仿宋_GB2312" w:hAnsi="仿宋_GB2312" w:eastAsia="仿宋_GB2312" w:cs="仿宋_GB2312"/>
          <w:sz w:val="28"/>
          <w:szCs w:val="28"/>
        </w:rPr>
        <w:t>□否，原因说明</w:t>
      </w:r>
      <w:r>
        <w:rPr>
          <w:rFonts w:hint="eastAsia" w:ascii="仿宋_GB2312" w:hAnsi="仿宋_GB2312" w:eastAsia="仿宋_GB2312" w:cs="仿宋_GB2312"/>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eastAsia="zh-CN"/>
        </w:rPr>
        <w:t>。</w:t>
      </w:r>
    </w:p>
    <w:p w14:paraId="55EE44AB">
      <w:pPr>
        <w:numPr>
          <w:ilvl w:val="0"/>
          <w:numId w:val="5"/>
        </w:num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是否接受</w:t>
      </w:r>
      <w:r>
        <w:rPr>
          <w:rFonts w:hint="eastAsia" w:ascii="仿宋_GB2312" w:hAnsi="仿宋_GB2312" w:eastAsia="仿宋_GB2312" w:cs="仿宋_GB2312"/>
          <w:b/>
          <w:bCs/>
          <w:sz w:val="28"/>
          <w:szCs w:val="28"/>
        </w:rPr>
        <w:t>联合体投标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否</w:t>
      </w:r>
    </w:p>
    <w:p w14:paraId="364C7258">
      <w:pPr>
        <w:spacing w:line="360" w:lineRule="auto"/>
        <w:rPr>
          <w:rFonts w:hint="eastAsia" w:ascii="仿宋_GB2312" w:hAnsi="仿宋_GB2312" w:eastAsia="仿宋_GB2312" w:cs="仿宋_GB2312"/>
          <w:b/>
          <w:bCs/>
          <w:sz w:val="28"/>
          <w:szCs w:val="28"/>
          <w:lang w:eastAsia="zh-CN"/>
        </w:rPr>
      </w:pPr>
      <w:r>
        <w:rPr>
          <w:rFonts w:hint="eastAsia" w:ascii="仿宋" w:hAnsi="仿宋" w:eastAsia="仿宋"/>
          <w:b/>
          <w:bCs/>
          <w:sz w:val="32"/>
          <w:szCs w:val="32"/>
        </w:rPr>
        <w:t>（</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）采购标的汇总表</w:t>
      </w:r>
      <w:r>
        <w:rPr>
          <w:rFonts w:hint="eastAsia" w:ascii="仿宋_GB2312" w:hAnsi="仿宋_GB2312" w:eastAsia="仿宋_GB2312" w:cs="仿宋_GB2312"/>
          <w:b/>
          <w:bCs/>
          <w:sz w:val="28"/>
          <w:szCs w:val="28"/>
          <w:lang w:eastAsia="zh-CN"/>
        </w:rPr>
        <w:t>：</w:t>
      </w:r>
    </w:p>
    <w:tbl>
      <w:tblPr>
        <w:tblStyle w:val="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200"/>
        <w:gridCol w:w="2065"/>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720C938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color w:val="000000" w:themeColor="text1"/>
                <w:kern w:val="0"/>
                <w:sz w:val="28"/>
                <w:szCs w:val="28"/>
                <w14:textFill>
                  <w14:solidFill>
                    <w14:schemeClr w14:val="tx1"/>
                  </w14:solidFill>
                </w14:textFill>
              </w:rPr>
              <w:t>名称</w:t>
            </w:r>
          </w:p>
        </w:tc>
        <w:tc>
          <w:tcPr>
            <w:tcW w:w="2331" w:type="dxa"/>
            <w:shd w:val="clear" w:color="auto" w:fill="FFFFFF"/>
            <w:tcMar>
              <w:top w:w="0" w:type="dxa"/>
              <w:right w:w="0" w:type="dxa"/>
            </w:tcMar>
            <w:vAlign w:val="center"/>
          </w:tcPr>
          <w:p w14:paraId="5D1646F0">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品目 （政府采购品目分类目录）</w:t>
            </w:r>
          </w:p>
        </w:tc>
        <w:tc>
          <w:tcPr>
            <w:tcW w:w="1601" w:type="dxa"/>
            <w:shd w:val="clear" w:color="auto" w:fill="FFFFFF"/>
            <w:tcMar>
              <w:top w:w="0" w:type="dxa"/>
              <w:right w:w="0" w:type="dxa"/>
            </w:tcMar>
            <w:vAlign w:val="center"/>
          </w:tcPr>
          <w:p w14:paraId="3AAC511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计量单位</w:t>
            </w:r>
          </w:p>
        </w:tc>
        <w:tc>
          <w:tcPr>
            <w:tcW w:w="968" w:type="dxa"/>
            <w:shd w:val="clear" w:color="auto" w:fill="FFFFFF"/>
            <w:vAlign w:val="center"/>
          </w:tcPr>
          <w:p w14:paraId="7FAF820B">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数量</w:t>
            </w:r>
          </w:p>
        </w:tc>
        <w:tc>
          <w:tcPr>
            <w:tcW w:w="1200" w:type="dxa"/>
            <w:shd w:val="clear" w:color="auto" w:fill="FFFFFF"/>
            <w:vAlign w:val="center"/>
          </w:tcPr>
          <w:p w14:paraId="0727C6FC">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总</w:t>
            </w:r>
            <w:r>
              <w:rPr>
                <w:rFonts w:hint="eastAsia" w:ascii="仿宋_GB2312" w:hAnsi="仿宋_GB2312" w:eastAsia="仿宋_GB2312" w:cs="仿宋_GB2312"/>
                <w:color w:val="000000" w:themeColor="text1"/>
                <w:kern w:val="0"/>
                <w:sz w:val="28"/>
                <w:szCs w:val="28"/>
                <w14:textFill>
                  <w14:solidFill>
                    <w14:schemeClr w14:val="tx1"/>
                  </w14:solidFill>
                </w14:textFill>
              </w:rPr>
              <w:t>预算</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元</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tc>
        <w:tc>
          <w:tcPr>
            <w:tcW w:w="2065" w:type="dxa"/>
            <w:shd w:val="clear" w:color="auto" w:fill="FFFFFF"/>
            <w:tcMar>
              <w:top w:w="0" w:type="dxa"/>
              <w:right w:w="0" w:type="dxa"/>
            </w:tcMar>
            <w:vAlign w:val="center"/>
          </w:tcPr>
          <w:p w14:paraId="0B1CE40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是否进口</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货物类提供</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05" w:type="dxa"/>
            <w:vMerge w:val="restart"/>
            <w:shd w:val="clear" w:color="auto" w:fill="FFFFFF"/>
            <w:tcMar>
              <w:top w:w="0" w:type="dxa"/>
              <w:right w:w="0" w:type="dxa"/>
            </w:tcMar>
            <w:vAlign w:val="center"/>
          </w:tcPr>
          <w:p w14:paraId="4FAF42DE">
            <w:pPr>
              <w:autoSpaceDE w:val="0"/>
              <w:autoSpaceDN w:val="0"/>
              <w:adjustRightInd w:val="0"/>
              <w:jc w:val="center"/>
              <w:rPr>
                <w:rFonts w:hint="eastAsia" w:ascii="仿宋_GB2312" w:hAnsi="仿宋_GB2312" w:eastAsia="仿宋_GB2312" w:cs="仿宋_GB2312"/>
                <w:color w:val="5E6B87"/>
                <w:kern w:val="0"/>
                <w:sz w:val="28"/>
                <w:szCs w:val="28"/>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智能安检设备采购安装项目招</w:t>
            </w:r>
            <w:r>
              <w:rPr>
                <w:rFonts w:hint="eastAsia" w:ascii="仿宋_GB2312" w:hAnsi="仿宋_GB2312" w:eastAsia="仿宋_GB2312" w:cs="仿宋_GB2312"/>
                <w:color w:val="000000" w:themeColor="text1"/>
                <w:kern w:val="0"/>
                <w:sz w:val="28"/>
                <w:szCs w:val="28"/>
                <w14:textFill>
                  <w14:solidFill>
                    <w14:schemeClr w14:val="tx1"/>
                  </w14:solidFill>
                </w14:textFill>
              </w:rPr>
              <w:t>标</w:t>
            </w:r>
          </w:p>
        </w:tc>
        <w:tc>
          <w:tcPr>
            <w:tcW w:w="2331" w:type="dxa"/>
            <w:shd w:val="clear" w:color="auto" w:fill="FFFFFF"/>
            <w:tcMar>
              <w:top w:w="0" w:type="dxa"/>
              <w:right w:w="0" w:type="dxa"/>
            </w:tcMar>
            <w:vAlign w:val="center"/>
          </w:tcPr>
          <w:p w14:paraId="0794CEF9">
            <w:pPr>
              <w:autoSpaceDE w:val="0"/>
              <w:autoSpaceDN w:val="0"/>
              <w:adjustRightInd w:val="0"/>
              <w:jc w:val="center"/>
              <w:rPr>
                <w:rFonts w:hint="eastAsia" w:ascii="仿宋_GB2312" w:hAnsi="仿宋_GB2312" w:eastAsia="仿宋_GB2312" w:cs="仿宋_GB2312"/>
                <w:color w:val="5E6B87"/>
                <w:kern w:val="0"/>
                <w:sz w:val="28"/>
                <w:szCs w:val="28"/>
                <w:lang w:val="en-US" w:eastAsia="zh-CN"/>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智能安检设备</w:t>
            </w:r>
          </w:p>
        </w:tc>
        <w:tc>
          <w:tcPr>
            <w:tcW w:w="1601" w:type="dxa"/>
            <w:shd w:val="clear" w:color="auto" w:fill="FFFFFF"/>
            <w:tcMar>
              <w:top w:w="0" w:type="dxa"/>
              <w:right w:w="0" w:type="dxa"/>
            </w:tcMar>
            <w:vAlign w:val="center"/>
          </w:tcPr>
          <w:p w14:paraId="72D4CB52">
            <w:pPr>
              <w:autoSpaceDE w:val="0"/>
              <w:autoSpaceDN w:val="0"/>
              <w:adjustRightInd w:val="0"/>
              <w:jc w:val="center"/>
              <w:rPr>
                <w:rFonts w:hint="eastAsia" w:ascii="仿宋_GB2312" w:hAnsi="仿宋_GB2312" w:eastAsia="仿宋_GB2312" w:cs="仿宋_GB2312"/>
                <w:color w:val="5E6B87"/>
                <w:kern w:val="0"/>
                <w:sz w:val="28"/>
                <w:szCs w:val="28"/>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台</w:t>
            </w:r>
          </w:p>
        </w:tc>
        <w:tc>
          <w:tcPr>
            <w:tcW w:w="968" w:type="dxa"/>
            <w:shd w:val="clear" w:color="auto" w:fill="FFFFFF"/>
            <w:vAlign w:val="center"/>
          </w:tcPr>
          <w:p w14:paraId="6888F0B6">
            <w:pPr>
              <w:autoSpaceDE w:val="0"/>
              <w:autoSpaceDN w:val="0"/>
              <w:adjustRightInd w:val="0"/>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w:t>
            </w:r>
          </w:p>
        </w:tc>
        <w:tc>
          <w:tcPr>
            <w:tcW w:w="1200" w:type="dxa"/>
            <w:vMerge w:val="restart"/>
            <w:shd w:val="clear" w:color="auto" w:fill="FFFFFF"/>
            <w:vAlign w:val="center"/>
          </w:tcPr>
          <w:p w14:paraId="4C305FEB">
            <w:pPr>
              <w:autoSpaceDE w:val="0"/>
              <w:autoSpaceDN w:val="0"/>
              <w:adjustRightInd w:val="0"/>
              <w:jc w:val="center"/>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10万元</w:t>
            </w:r>
          </w:p>
        </w:tc>
        <w:tc>
          <w:tcPr>
            <w:tcW w:w="2065" w:type="dxa"/>
            <w:vMerge w:val="restart"/>
            <w:shd w:val="clear" w:color="auto" w:fill="FFFFFF"/>
            <w:tcMar>
              <w:top w:w="0" w:type="dxa"/>
              <w:right w:w="0" w:type="dxa"/>
            </w:tcMar>
            <w:vAlign w:val="center"/>
          </w:tcPr>
          <w:p w14:paraId="6562782E">
            <w:pPr>
              <w:autoSpaceDE w:val="0"/>
              <w:autoSpaceDN w:val="0"/>
              <w:adjustRightInd w:val="0"/>
              <w:jc w:val="center"/>
              <w:rPr>
                <w:rFonts w:hint="eastAsia" w:ascii="仿宋_GB2312" w:hAnsi="仿宋_GB2312" w:eastAsia="仿宋_GB2312" w:cs="仿宋_GB2312"/>
                <w:color w:val="5E6B87"/>
                <w:kern w:val="0"/>
                <w:sz w:val="28"/>
                <w:szCs w:val="28"/>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否</w:t>
            </w:r>
          </w:p>
        </w:tc>
      </w:tr>
      <w:tr w14:paraId="78CC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05" w:type="dxa"/>
            <w:vMerge w:val="continue"/>
            <w:shd w:val="clear" w:color="auto" w:fill="FFFFFF"/>
            <w:tcMar>
              <w:top w:w="0" w:type="dxa"/>
              <w:right w:w="0" w:type="dxa"/>
            </w:tcMar>
            <w:vAlign w:val="center"/>
          </w:tcPr>
          <w:p w14:paraId="7B041B74">
            <w:pPr>
              <w:autoSpaceDE w:val="0"/>
              <w:autoSpaceDN w:val="0"/>
              <w:adjustRightInd w:val="0"/>
              <w:jc w:val="center"/>
            </w:pPr>
          </w:p>
        </w:tc>
        <w:tc>
          <w:tcPr>
            <w:tcW w:w="2331" w:type="dxa"/>
            <w:shd w:val="clear" w:color="auto" w:fill="FFFFFF"/>
            <w:tcMar>
              <w:top w:w="0" w:type="dxa"/>
              <w:right w:w="0" w:type="dxa"/>
            </w:tcMar>
            <w:vAlign w:val="center"/>
          </w:tcPr>
          <w:p w14:paraId="113DFD57">
            <w:pPr>
              <w:autoSpaceDE w:val="0"/>
              <w:autoSpaceDN w:val="0"/>
              <w:adjustRightInd w:val="0"/>
              <w:jc w:val="center"/>
              <w:rPr>
                <w:rFonts w:hint="eastAsia" w:ascii="仿宋_GB2312" w:hAnsi="仿宋_GB2312" w:eastAsia="仿宋_GB2312" w:cs="仿宋_GB2312"/>
                <w:color w:val="5E6B87"/>
                <w:kern w:val="0"/>
                <w:sz w:val="28"/>
                <w:szCs w:val="28"/>
                <w:lang w:val="en-US" w:eastAsia="zh-CN"/>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通过式智能安检设备</w:t>
            </w:r>
          </w:p>
        </w:tc>
        <w:tc>
          <w:tcPr>
            <w:tcW w:w="1601" w:type="dxa"/>
            <w:shd w:val="clear" w:color="auto" w:fill="FFFFFF"/>
            <w:tcMar>
              <w:top w:w="0" w:type="dxa"/>
              <w:right w:w="0" w:type="dxa"/>
            </w:tcMar>
            <w:vAlign w:val="center"/>
          </w:tcPr>
          <w:p w14:paraId="701A5F92">
            <w:pPr>
              <w:autoSpaceDE w:val="0"/>
              <w:autoSpaceDN w:val="0"/>
              <w:adjustRightInd w:val="0"/>
              <w:jc w:val="center"/>
              <w:rPr>
                <w:rFonts w:hint="eastAsia" w:ascii="仿宋_GB2312" w:hAnsi="仿宋_GB2312" w:eastAsia="仿宋_GB2312" w:cs="仿宋_GB2312"/>
                <w:color w:val="5E6B87"/>
                <w:kern w:val="0"/>
                <w:sz w:val="28"/>
                <w:szCs w:val="28"/>
                <w:lang w:val="en-US" w:eastAsia="zh-CN"/>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台</w:t>
            </w:r>
          </w:p>
        </w:tc>
        <w:tc>
          <w:tcPr>
            <w:tcW w:w="968" w:type="dxa"/>
            <w:shd w:val="clear" w:color="auto" w:fill="FFFFFF"/>
            <w:vAlign w:val="center"/>
          </w:tcPr>
          <w:p w14:paraId="17FE4AF5">
            <w:pPr>
              <w:autoSpaceDE w:val="0"/>
              <w:autoSpaceDN w:val="0"/>
              <w:adjustRightInd w:val="0"/>
              <w:jc w:val="center"/>
              <w:rPr>
                <w:rFonts w:hint="eastAsia" w:ascii="仿宋_GB2312" w:hAnsi="仿宋_GB2312" w:eastAsia="仿宋_GB2312" w:cs="仿宋_GB2312"/>
                <w:color w:val="5E6B87"/>
                <w:kern w:val="0"/>
                <w:sz w:val="28"/>
                <w:szCs w:val="28"/>
                <w:lang w:val="en-US" w:eastAsia="zh-CN"/>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w:t>
            </w:r>
          </w:p>
        </w:tc>
        <w:tc>
          <w:tcPr>
            <w:tcW w:w="1200" w:type="dxa"/>
            <w:vMerge w:val="continue"/>
            <w:shd w:val="clear" w:color="auto" w:fill="FFFFFF"/>
            <w:vAlign w:val="center"/>
          </w:tcPr>
          <w:p w14:paraId="445597D1">
            <w:pPr>
              <w:autoSpaceDE w:val="0"/>
              <w:autoSpaceDN w:val="0"/>
              <w:adjustRightInd w:val="0"/>
              <w:jc w:val="center"/>
              <w:rPr>
                <w:rFonts w:hint="eastAsia" w:ascii="仿宋_GB2312" w:hAnsi="仿宋_GB2312" w:eastAsia="仿宋_GB2312" w:cs="仿宋_GB2312"/>
                <w:color w:val="5E6B87"/>
                <w:kern w:val="0"/>
                <w:sz w:val="28"/>
                <w:szCs w:val="28"/>
                <w:lang w:val="en-US" w:eastAsia="zh-CN"/>
              </w:rPr>
            </w:pPr>
          </w:p>
        </w:tc>
        <w:tc>
          <w:tcPr>
            <w:tcW w:w="2065" w:type="dxa"/>
            <w:vMerge w:val="continue"/>
            <w:shd w:val="clear" w:color="auto" w:fill="FFFFFF"/>
            <w:tcMar>
              <w:top w:w="0" w:type="dxa"/>
              <w:right w:w="0" w:type="dxa"/>
            </w:tcMar>
            <w:vAlign w:val="center"/>
          </w:tcPr>
          <w:p w14:paraId="5500F257">
            <w:pPr>
              <w:autoSpaceDE w:val="0"/>
              <w:autoSpaceDN w:val="0"/>
              <w:adjustRightInd w:val="0"/>
              <w:jc w:val="center"/>
              <w:rPr>
                <w:rFonts w:hint="eastAsia" w:ascii="仿宋_GB2312" w:hAnsi="仿宋_GB2312" w:eastAsia="仿宋_GB2312" w:cs="仿宋_GB2312"/>
                <w:color w:val="5E6B87"/>
                <w:kern w:val="0"/>
                <w:sz w:val="28"/>
                <w:szCs w:val="28"/>
                <w:lang w:val="en-US" w:eastAsia="zh-CN"/>
              </w:rPr>
            </w:pPr>
          </w:p>
        </w:tc>
      </w:tr>
      <w:tr w14:paraId="6558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05" w:type="dxa"/>
            <w:vMerge w:val="continue"/>
            <w:shd w:val="clear" w:color="auto" w:fill="FFFFFF"/>
            <w:tcMar>
              <w:top w:w="0" w:type="dxa"/>
              <w:right w:w="0" w:type="dxa"/>
            </w:tcMar>
            <w:vAlign w:val="center"/>
          </w:tcPr>
          <w:p w14:paraId="240205FF">
            <w:pPr>
              <w:autoSpaceDE w:val="0"/>
              <w:autoSpaceDN w:val="0"/>
              <w:adjustRightInd w:val="0"/>
              <w:jc w:val="center"/>
              <w:rPr>
                <w:rFonts w:hint="eastAsia" w:ascii="仿宋_GB2312" w:hAnsi="仿宋_GB2312" w:eastAsia="仿宋_GB2312" w:cs="仿宋_GB2312"/>
                <w:color w:val="5E6B87"/>
                <w:kern w:val="0"/>
                <w:sz w:val="28"/>
                <w:szCs w:val="28"/>
                <w:lang w:val="en-US" w:eastAsia="zh-CN"/>
              </w:rPr>
            </w:pPr>
          </w:p>
        </w:tc>
        <w:tc>
          <w:tcPr>
            <w:tcW w:w="2331" w:type="dxa"/>
            <w:shd w:val="clear" w:color="auto" w:fill="FFFFFF"/>
            <w:tcMar>
              <w:top w:w="0" w:type="dxa"/>
              <w:right w:w="0" w:type="dxa"/>
            </w:tcMar>
            <w:vAlign w:val="center"/>
          </w:tcPr>
          <w:p w14:paraId="26DD8148">
            <w:pPr>
              <w:autoSpaceDE w:val="0"/>
              <w:autoSpaceDN w:val="0"/>
              <w:adjustRightInd w:val="0"/>
              <w:jc w:val="center"/>
              <w:rPr>
                <w:rFonts w:hint="eastAsia" w:ascii="仿宋_GB2312" w:hAnsi="仿宋_GB2312" w:eastAsia="仿宋_GB2312" w:cs="仿宋_GB2312"/>
                <w:color w:val="5E6B87"/>
                <w:kern w:val="0"/>
                <w:sz w:val="28"/>
                <w:szCs w:val="28"/>
                <w:lang w:val="en-US" w:eastAsia="zh-CN"/>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安检棒</w:t>
            </w:r>
          </w:p>
        </w:tc>
        <w:tc>
          <w:tcPr>
            <w:tcW w:w="1601" w:type="dxa"/>
            <w:shd w:val="clear" w:color="auto" w:fill="FFFFFF"/>
            <w:tcMar>
              <w:top w:w="0" w:type="dxa"/>
              <w:right w:w="0" w:type="dxa"/>
            </w:tcMar>
            <w:vAlign w:val="center"/>
          </w:tcPr>
          <w:p w14:paraId="00756E91">
            <w:pPr>
              <w:autoSpaceDE w:val="0"/>
              <w:autoSpaceDN w:val="0"/>
              <w:adjustRightInd w:val="0"/>
              <w:jc w:val="center"/>
              <w:rPr>
                <w:rFonts w:hint="eastAsia" w:ascii="仿宋_GB2312" w:hAnsi="仿宋_GB2312" w:eastAsia="仿宋_GB2312" w:cs="仿宋_GB2312"/>
                <w:color w:val="5E6B87"/>
                <w:kern w:val="0"/>
                <w:sz w:val="28"/>
                <w:szCs w:val="28"/>
                <w:lang w:val="en-US" w:eastAsia="zh-CN"/>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套</w:t>
            </w:r>
          </w:p>
        </w:tc>
        <w:tc>
          <w:tcPr>
            <w:tcW w:w="968" w:type="dxa"/>
            <w:shd w:val="clear" w:color="auto" w:fill="FFFFFF"/>
            <w:vAlign w:val="center"/>
          </w:tcPr>
          <w:p w14:paraId="47249752">
            <w:pPr>
              <w:autoSpaceDE w:val="0"/>
              <w:autoSpaceDN w:val="0"/>
              <w:adjustRightInd w:val="0"/>
              <w:jc w:val="center"/>
              <w:rPr>
                <w:rFonts w:hint="eastAsia" w:ascii="仿宋_GB2312" w:hAnsi="仿宋_GB2312" w:eastAsia="仿宋_GB2312" w:cs="仿宋_GB2312"/>
                <w:color w:val="5E6B87"/>
                <w:kern w:val="0"/>
                <w:sz w:val="28"/>
                <w:szCs w:val="28"/>
                <w:lang w:val="en-US" w:eastAsia="zh-CN"/>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w:t>
            </w:r>
          </w:p>
        </w:tc>
        <w:tc>
          <w:tcPr>
            <w:tcW w:w="1200" w:type="dxa"/>
            <w:vMerge w:val="continue"/>
            <w:shd w:val="clear" w:color="auto" w:fill="FFFFFF"/>
            <w:vAlign w:val="center"/>
          </w:tcPr>
          <w:p w14:paraId="4FE49A3A">
            <w:pPr>
              <w:autoSpaceDE w:val="0"/>
              <w:autoSpaceDN w:val="0"/>
              <w:adjustRightInd w:val="0"/>
              <w:jc w:val="center"/>
              <w:rPr>
                <w:rFonts w:hint="eastAsia" w:ascii="仿宋_GB2312" w:hAnsi="仿宋_GB2312" w:eastAsia="仿宋_GB2312" w:cs="仿宋_GB2312"/>
                <w:color w:val="5E6B87"/>
                <w:kern w:val="0"/>
                <w:sz w:val="28"/>
                <w:szCs w:val="28"/>
                <w:lang w:val="en-US" w:eastAsia="zh-CN"/>
              </w:rPr>
            </w:pPr>
          </w:p>
        </w:tc>
        <w:tc>
          <w:tcPr>
            <w:tcW w:w="2065" w:type="dxa"/>
            <w:vMerge w:val="continue"/>
            <w:shd w:val="clear" w:color="auto" w:fill="FFFFFF"/>
            <w:tcMar>
              <w:top w:w="0" w:type="dxa"/>
              <w:right w:w="0" w:type="dxa"/>
            </w:tcMar>
            <w:vAlign w:val="center"/>
          </w:tcPr>
          <w:p w14:paraId="6F0B6451">
            <w:pPr>
              <w:autoSpaceDE w:val="0"/>
              <w:autoSpaceDN w:val="0"/>
              <w:adjustRightInd w:val="0"/>
              <w:jc w:val="center"/>
              <w:rPr>
                <w:rFonts w:hint="eastAsia" w:ascii="仿宋_GB2312" w:hAnsi="仿宋_GB2312" w:eastAsia="仿宋_GB2312" w:cs="仿宋_GB2312"/>
                <w:color w:val="5E6B87"/>
                <w:kern w:val="0"/>
                <w:sz w:val="28"/>
                <w:szCs w:val="28"/>
                <w:lang w:val="en-US" w:eastAsia="zh-CN"/>
              </w:rPr>
            </w:pPr>
          </w:p>
        </w:tc>
      </w:tr>
    </w:tbl>
    <w:p w14:paraId="40D5A786">
      <w:pPr>
        <w:numPr>
          <w:ilvl w:val="0"/>
          <w:numId w:val="0"/>
        </w:num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按照规定及项目情况设置投标供应商资格要求：</w:t>
      </w:r>
    </w:p>
    <w:p w14:paraId="3FA001A0">
      <w:pPr>
        <w:numPr>
          <w:ilvl w:val="0"/>
          <w:numId w:val="0"/>
        </w:numPr>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w:t>
      </w:r>
      <w:r>
        <w:rPr>
          <w:rFonts w:hint="default" w:ascii="仿宋_GB2312" w:hAnsi="仿宋_GB2312" w:eastAsia="仿宋_GB2312" w:cs="仿宋_GB2312"/>
          <w:b w:val="0"/>
          <w:bCs w:val="0"/>
          <w:kern w:val="2"/>
          <w:sz w:val="28"/>
          <w:szCs w:val="28"/>
          <w:lang w:val="en-US" w:eastAsia="zh-CN" w:bidi="ar-SA"/>
        </w:rPr>
        <w:t>投标人必须具有独立法人资格或是具有独立承担民事责任能力的其它组织（提供《营业执照》扫描件，原件备查）</w:t>
      </w:r>
      <w:r>
        <w:rPr>
          <w:rFonts w:hint="eastAsia" w:ascii="仿宋_GB2312" w:hAnsi="仿宋_GB2312" w:eastAsia="仿宋_GB2312" w:cs="仿宋_GB2312"/>
          <w:b w:val="0"/>
          <w:bCs w:val="0"/>
          <w:kern w:val="2"/>
          <w:sz w:val="28"/>
          <w:szCs w:val="28"/>
          <w:lang w:val="en-US" w:eastAsia="zh-CN" w:bidi="ar-SA"/>
        </w:rPr>
        <w:t>。</w:t>
      </w:r>
    </w:p>
    <w:p w14:paraId="67FE48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w:t>
      </w:r>
      <w:r>
        <w:rPr>
          <w:rFonts w:hint="default" w:ascii="仿宋_GB2312" w:hAnsi="仿宋_GB2312" w:eastAsia="仿宋_GB2312" w:cs="仿宋_GB2312"/>
          <w:b w:val="0"/>
          <w:bCs w:val="0"/>
          <w:kern w:val="2"/>
          <w:sz w:val="28"/>
          <w:szCs w:val="28"/>
          <w:lang w:val="en-US" w:eastAsia="zh-CN" w:bidi="ar-SA"/>
        </w:rPr>
        <w:t>参与本项目投标前三年内(如公司成立不足3年，自成立之日起算)在经营活动中无重大违法犯罪记录和不存在处于被禁止参与政府采购活动期限内情形的书面声明（提供书面声明函）</w:t>
      </w:r>
      <w:r>
        <w:rPr>
          <w:rFonts w:hint="eastAsia" w:ascii="仿宋_GB2312" w:hAnsi="仿宋_GB2312" w:eastAsia="仿宋_GB2312" w:cs="仿宋_GB2312"/>
          <w:b w:val="0"/>
          <w:bCs w:val="0"/>
          <w:kern w:val="2"/>
          <w:sz w:val="28"/>
          <w:szCs w:val="28"/>
          <w:lang w:val="en-US" w:eastAsia="zh-CN" w:bidi="ar-SA"/>
        </w:rPr>
        <w:t>。</w:t>
      </w:r>
    </w:p>
    <w:p w14:paraId="557C91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w:t>
      </w:r>
      <w:r>
        <w:rPr>
          <w:rFonts w:hint="default" w:ascii="仿宋_GB2312" w:hAnsi="仿宋_GB2312" w:eastAsia="仿宋_GB2312" w:cs="仿宋_GB2312"/>
          <w:b w:val="0"/>
          <w:bCs w:val="0"/>
          <w:kern w:val="2"/>
          <w:sz w:val="28"/>
          <w:szCs w:val="28"/>
          <w:lang w:val="en-US" w:eastAsia="zh-CN" w:bidi="ar-SA"/>
        </w:rPr>
        <w:t>本项目不接受联合体投标。</w:t>
      </w:r>
    </w:p>
    <w:p w14:paraId="4EEEB5CB">
      <w:pP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技术</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服务</w:t>
      </w:r>
      <w:r>
        <w:rPr>
          <w:rFonts w:hint="eastAsia" w:ascii="仿宋_GB2312" w:hAnsi="仿宋_GB2312" w:eastAsia="仿宋_GB2312" w:cs="仿宋_GB2312"/>
          <w:b/>
          <w:bCs/>
          <w:sz w:val="28"/>
          <w:szCs w:val="28"/>
        </w:rPr>
        <w:t>要求与商务要求</w:t>
      </w:r>
      <w:r>
        <w:rPr>
          <w:rFonts w:hint="eastAsia" w:ascii="仿宋_GB2312" w:hAnsi="仿宋_GB2312" w:eastAsia="仿宋_GB2312" w:cs="仿宋_GB2312"/>
          <w:b/>
          <w:bCs/>
          <w:sz w:val="28"/>
          <w:szCs w:val="28"/>
          <w:lang w:eastAsia="zh-CN"/>
        </w:rPr>
        <w:t>：</w:t>
      </w:r>
    </w:p>
    <w:p w14:paraId="795ECCF4">
      <w:pPr>
        <w:numPr>
          <w:ilvl w:val="0"/>
          <w:numId w:val="6"/>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技术要求</w:t>
      </w:r>
      <w:r>
        <w:rPr>
          <w:rFonts w:hint="eastAsia" w:ascii="仿宋_GB2312" w:hAnsi="仿宋_GB2312" w:eastAsia="仿宋_GB2312" w:cs="仿宋_GB2312"/>
          <w:sz w:val="28"/>
          <w:szCs w:val="28"/>
          <w:lang w:eastAsia="zh-CN"/>
        </w:rPr>
        <w:t>：</w:t>
      </w:r>
    </w:p>
    <w:tbl>
      <w:tblPr>
        <w:tblStyle w:val="6"/>
        <w:tblpPr w:leftFromText="180" w:rightFromText="180" w:vertAnchor="text" w:horzAnchor="page" w:tblpXSpec="center" w:tblpY="664"/>
        <w:tblOverlap w:val="never"/>
        <w:tblW w:w="8278" w:type="dxa"/>
        <w:jc w:val="center"/>
        <w:tblLayout w:type="fixed"/>
        <w:tblCellMar>
          <w:top w:w="0" w:type="dxa"/>
          <w:left w:w="108" w:type="dxa"/>
          <w:bottom w:w="0" w:type="dxa"/>
          <w:right w:w="108" w:type="dxa"/>
        </w:tblCellMar>
      </w:tblPr>
      <w:tblGrid>
        <w:gridCol w:w="878"/>
        <w:gridCol w:w="1427"/>
        <w:gridCol w:w="5973"/>
      </w:tblGrid>
      <w:tr w14:paraId="2575BAAC">
        <w:tblPrEx>
          <w:tblCellMar>
            <w:top w:w="0" w:type="dxa"/>
            <w:left w:w="108" w:type="dxa"/>
            <w:bottom w:w="0" w:type="dxa"/>
            <w:right w:w="108" w:type="dxa"/>
          </w:tblCellMar>
        </w:tblPrEx>
        <w:trPr>
          <w:trHeight w:val="540"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14:paraId="39E9896A">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4F49792E">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设备名称</w:t>
            </w:r>
          </w:p>
        </w:tc>
        <w:tc>
          <w:tcPr>
            <w:tcW w:w="5973" w:type="dxa"/>
            <w:tcBorders>
              <w:top w:val="single" w:color="auto" w:sz="4" w:space="0"/>
              <w:left w:val="single" w:color="auto" w:sz="4" w:space="0"/>
              <w:bottom w:val="single" w:color="auto" w:sz="4" w:space="0"/>
              <w:right w:val="single" w:color="auto" w:sz="4" w:space="0"/>
            </w:tcBorders>
            <w:shd w:val="clear" w:color="auto" w:fill="auto"/>
            <w:vAlign w:val="center"/>
          </w:tcPr>
          <w:p w14:paraId="50BAB31A">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主要技术参数</w:t>
            </w:r>
          </w:p>
        </w:tc>
      </w:tr>
      <w:tr w14:paraId="06F35E9D">
        <w:tblPrEx>
          <w:tblCellMar>
            <w:top w:w="0" w:type="dxa"/>
            <w:left w:w="108" w:type="dxa"/>
            <w:bottom w:w="0" w:type="dxa"/>
            <w:right w:w="108" w:type="dxa"/>
          </w:tblCellMar>
        </w:tblPrEx>
        <w:trPr>
          <w:trHeight w:val="90"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7243D">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27" w:type="dxa"/>
            <w:tcBorders>
              <w:top w:val="single" w:color="auto" w:sz="4" w:space="0"/>
              <w:left w:val="nil"/>
              <w:bottom w:val="single" w:color="auto" w:sz="4" w:space="0"/>
              <w:right w:val="single" w:color="auto" w:sz="4" w:space="0"/>
            </w:tcBorders>
            <w:shd w:val="clear" w:color="auto" w:fill="auto"/>
            <w:vAlign w:val="center"/>
          </w:tcPr>
          <w:p w14:paraId="4B860423">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智能安检设备</w:t>
            </w:r>
          </w:p>
        </w:tc>
        <w:tc>
          <w:tcPr>
            <w:tcW w:w="5973" w:type="dxa"/>
            <w:tcBorders>
              <w:top w:val="single" w:color="auto" w:sz="4" w:space="0"/>
              <w:left w:val="nil"/>
              <w:bottom w:val="single" w:color="auto" w:sz="4" w:space="0"/>
              <w:right w:val="single" w:color="auto" w:sz="4" w:space="0"/>
            </w:tcBorders>
            <w:shd w:val="clear" w:color="auto" w:fill="auto"/>
            <w:vAlign w:val="center"/>
          </w:tcPr>
          <w:p w14:paraId="5DF7A5B1">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1、可变速可根据场景实现一键速度切换</w:t>
            </w:r>
            <w:r>
              <w:rPr>
                <w:rFonts w:hint="eastAsia" w:ascii="仿宋_GB2312" w:hAnsi="仿宋_GB2312" w:eastAsia="仿宋_GB2312" w:cs="仿宋_GB2312"/>
                <w:sz w:val="28"/>
                <w:szCs w:val="28"/>
                <w:lang w:eastAsia="zh-CN"/>
              </w:rPr>
              <w:t>。</w:t>
            </w:r>
          </w:p>
          <w:p w14:paraId="603108FD">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2、安检联网支持接入上级安检联网管理平台，实现数据上传管理</w:t>
            </w:r>
            <w:r>
              <w:rPr>
                <w:rFonts w:hint="eastAsia" w:ascii="仿宋_GB2312" w:hAnsi="仿宋_GB2312" w:eastAsia="仿宋_GB2312" w:cs="仿宋_GB2312"/>
                <w:sz w:val="28"/>
                <w:szCs w:val="28"/>
                <w:lang w:eastAsia="zh-CN"/>
              </w:rPr>
              <w:t>。</w:t>
            </w:r>
          </w:p>
          <w:p w14:paraId="0B728A34">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3、数据存储支持安检机图片、报警信息本地存储、查看、调用</w:t>
            </w:r>
            <w:r>
              <w:rPr>
                <w:rFonts w:hint="eastAsia" w:ascii="仿宋_GB2312" w:hAnsi="仿宋_GB2312" w:eastAsia="仿宋_GB2312" w:cs="仿宋_GB2312"/>
                <w:sz w:val="28"/>
                <w:szCs w:val="28"/>
                <w:lang w:eastAsia="zh-CN"/>
              </w:rPr>
              <w:t>。</w:t>
            </w:r>
          </w:p>
          <w:p w14:paraId="12F6DECC">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事件追溯可将X射线过包图像同旅客视频信息有机结合，实现人包追溯</w:t>
            </w:r>
            <w:r>
              <w:rPr>
                <w:rFonts w:hint="eastAsia" w:ascii="仿宋_GB2312" w:hAnsi="仿宋_GB2312" w:eastAsia="仿宋_GB2312" w:cs="仿宋_GB2312"/>
                <w:sz w:val="28"/>
                <w:szCs w:val="28"/>
                <w:lang w:eastAsia="zh-CN"/>
              </w:rPr>
              <w:t>。</w:t>
            </w:r>
          </w:p>
          <w:p w14:paraId="77D4DAEE">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4、指纹登录 提供指纹登录功能，规避繁琐的密码输入</w:t>
            </w:r>
            <w:r>
              <w:rPr>
                <w:rFonts w:hint="eastAsia" w:ascii="仿宋_GB2312" w:hAnsi="仿宋_GB2312" w:eastAsia="仿宋_GB2312" w:cs="仿宋_GB2312"/>
                <w:sz w:val="28"/>
                <w:szCs w:val="28"/>
                <w:lang w:eastAsia="zh-CN"/>
              </w:rPr>
              <w:t>。</w:t>
            </w:r>
          </w:p>
          <w:p w14:paraId="372B835E">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5、传送带速度：0.2m/s、0.3m/s、0.4m/s </w:t>
            </w:r>
            <w:r>
              <w:rPr>
                <w:rFonts w:hint="eastAsia" w:ascii="仿宋_GB2312" w:hAnsi="仿宋_GB2312" w:eastAsia="仿宋_GB2312" w:cs="仿宋_GB2312"/>
                <w:sz w:val="28"/>
                <w:szCs w:val="28"/>
                <w:lang w:eastAsia="zh-CN"/>
              </w:rPr>
              <w:t>。</w:t>
            </w:r>
          </w:p>
          <w:p w14:paraId="217E80A8">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6、违禁品识别种类：35大类64小类</w:t>
            </w:r>
            <w:r>
              <w:rPr>
                <w:rFonts w:hint="eastAsia" w:ascii="仿宋_GB2312" w:hAnsi="仿宋_GB2312" w:eastAsia="仿宋_GB2312" w:cs="仿宋_GB2312"/>
                <w:sz w:val="28"/>
                <w:szCs w:val="28"/>
                <w:lang w:eastAsia="zh-CN"/>
              </w:rPr>
              <w:t>。</w:t>
            </w:r>
          </w:p>
          <w:p w14:paraId="105F82BE">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7、设备应具有</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3个摄像头，进口</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1个，出口</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1个，通道内</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1个</w:t>
            </w:r>
            <w:r>
              <w:rPr>
                <w:rFonts w:hint="eastAsia" w:ascii="仿宋_GB2312" w:hAnsi="仿宋_GB2312" w:eastAsia="仿宋_GB2312" w:cs="仿宋_GB2312"/>
                <w:sz w:val="28"/>
                <w:szCs w:val="28"/>
                <w:lang w:eastAsia="zh-CN"/>
              </w:rPr>
              <w:t>。</w:t>
            </w:r>
          </w:p>
          <w:p w14:paraId="3C257309">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8、 设备内置智能识别算法，实现对违禁品的智能识别功能。当检测到以下违禁品时，应能自动识别图像圈定标注名称或种类：1、刀具（匕首、切刀、美工刀、弹簧刀）2、仿真枪 3、管制器具（指虎、甩棍、电击器、手铐） 4、压力容器 5、瓶装液体 6、鞭炮 7、电子设备（笔记本电脑、手机、平板电脑） 8、锂电池 、充电宝 9、工具（扳手、剪刀、斜口钳、螺丝刀、压线钳）10、打火机 11、雨伞</w:t>
            </w:r>
            <w:r>
              <w:rPr>
                <w:rFonts w:hint="eastAsia" w:ascii="仿宋_GB2312" w:hAnsi="仿宋_GB2312" w:eastAsia="仿宋_GB2312" w:cs="仿宋_GB2312"/>
                <w:sz w:val="28"/>
                <w:szCs w:val="28"/>
                <w:lang w:eastAsia="zh-CN"/>
              </w:rPr>
              <w:t>。</w:t>
            </w:r>
          </w:p>
          <w:p w14:paraId="05E0C062">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9、提供指纹登录功能，规避繁琐的密码输入。</w:t>
            </w:r>
          </w:p>
          <w:p w14:paraId="2F17D74F">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10、当物品到达设备腔体中部后至开始呈现图像的图像成像时间应</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0.5s。</w:t>
            </w:r>
          </w:p>
          <w:p w14:paraId="2703FF3E">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11、一键报警功能：设备应具有一键报警功能，设备的显示屏应具有一键报警按钮。当一键报警被触发时,设备应能将一键报警信息上传至远程平台</w:t>
            </w:r>
            <w:r>
              <w:rPr>
                <w:rFonts w:hint="eastAsia" w:ascii="仿宋_GB2312" w:hAnsi="仿宋_GB2312" w:eastAsia="仿宋_GB2312" w:cs="仿宋_GB2312"/>
                <w:sz w:val="28"/>
                <w:szCs w:val="28"/>
                <w:lang w:eastAsia="zh-CN"/>
              </w:rPr>
              <w:t>。</w:t>
            </w:r>
          </w:p>
          <w:p w14:paraId="1152B486">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12、设备应具有图像降噪等级调整功能,支持用户自行调整降噪级别,调整范围为0~100等级</w:t>
            </w:r>
            <w:r>
              <w:rPr>
                <w:rFonts w:hint="eastAsia" w:ascii="仿宋_GB2312" w:hAnsi="仿宋_GB2312" w:eastAsia="仿宋_GB2312" w:cs="仿宋_GB2312"/>
                <w:sz w:val="28"/>
                <w:szCs w:val="28"/>
                <w:lang w:eastAsia="zh-CN"/>
              </w:rPr>
              <w:t>。</w:t>
            </w:r>
          </w:p>
          <w:p w14:paraId="7185A0C0">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13、设备孔隙检查：整机外露进入设备孔隙应</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6mm。</w:t>
            </w:r>
          </w:p>
          <w:p w14:paraId="0DFFB0E1">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14、主控和终端应能自动校时,具有计时备份功能,当任何一方突发异常情况时,均可又对终端进行校时,恢复设备的正常计时功能。</w:t>
            </w:r>
          </w:p>
          <w:p w14:paraId="50FEE229">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15、危险品图像插入（TIP）功能应具有初次判图和二次判图功能，且初次判图时间和二次判图时间应可分别设置。</w:t>
            </w:r>
          </w:p>
          <w:p w14:paraId="25F7AADB">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16、设备应采用单源多能量X射线检查技术，能够准确识别有机物、无机物和混合物。</w:t>
            </w:r>
          </w:p>
          <w:p w14:paraId="3C1F7894">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17、图像解像功能：对X光机测试体的0.8mm线对进行X射线图像解像力分析，其MTF值应</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0.5</w:t>
            </w:r>
            <w:r>
              <w:rPr>
                <w:rFonts w:hint="eastAsia" w:ascii="仿宋_GB2312" w:hAnsi="仿宋_GB2312" w:eastAsia="仿宋_GB2312" w:cs="仿宋_GB2312"/>
                <w:sz w:val="28"/>
                <w:szCs w:val="28"/>
                <w:lang w:eastAsia="zh-CN"/>
              </w:rPr>
              <w:t>。</w:t>
            </w:r>
          </w:p>
        </w:tc>
      </w:tr>
      <w:tr w14:paraId="4FA67445">
        <w:tblPrEx>
          <w:tblCellMar>
            <w:top w:w="0" w:type="dxa"/>
            <w:left w:w="108" w:type="dxa"/>
            <w:bottom w:w="0" w:type="dxa"/>
            <w:right w:w="108" w:type="dxa"/>
          </w:tblCellMar>
        </w:tblPrEx>
        <w:trPr>
          <w:trHeight w:val="2752" w:hRule="atLeast"/>
          <w:jc w:val="center"/>
        </w:trPr>
        <w:tc>
          <w:tcPr>
            <w:tcW w:w="878" w:type="dxa"/>
            <w:tcBorders>
              <w:top w:val="nil"/>
              <w:left w:val="single" w:color="auto" w:sz="4" w:space="0"/>
              <w:bottom w:val="single" w:color="auto" w:sz="4" w:space="0"/>
              <w:right w:val="single" w:color="auto" w:sz="4" w:space="0"/>
            </w:tcBorders>
            <w:shd w:val="clear" w:color="auto" w:fill="auto"/>
            <w:noWrap/>
            <w:vAlign w:val="center"/>
          </w:tcPr>
          <w:p w14:paraId="418170D8">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427" w:type="dxa"/>
            <w:tcBorders>
              <w:top w:val="nil"/>
              <w:left w:val="nil"/>
              <w:bottom w:val="single" w:color="auto" w:sz="4" w:space="0"/>
              <w:right w:val="single" w:color="auto" w:sz="4" w:space="0"/>
            </w:tcBorders>
            <w:shd w:val="clear" w:color="auto" w:fill="auto"/>
            <w:vAlign w:val="center"/>
          </w:tcPr>
          <w:p w14:paraId="1DD2F712">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通过式智能安检设备</w:t>
            </w:r>
          </w:p>
        </w:tc>
        <w:tc>
          <w:tcPr>
            <w:tcW w:w="5973" w:type="dxa"/>
            <w:tcBorders>
              <w:top w:val="nil"/>
              <w:left w:val="nil"/>
              <w:bottom w:val="single" w:color="auto" w:sz="4" w:space="0"/>
              <w:right w:val="single" w:color="auto" w:sz="4" w:space="0"/>
            </w:tcBorders>
            <w:shd w:val="clear" w:color="auto" w:fill="auto"/>
            <w:vAlign w:val="center"/>
          </w:tcPr>
          <w:p w14:paraId="0BE430CA">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 安检门应具有金属检测功能等功能</w:t>
            </w:r>
            <w:r>
              <w:rPr>
                <w:rFonts w:hint="eastAsia" w:ascii="仿宋_GB2312" w:hAnsi="仿宋_GB2312" w:eastAsia="仿宋_GB2312" w:cs="仿宋_GB2312"/>
                <w:sz w:val="28"/>
                <w:szCs w:val="28"/>
                <w:lang w:eastAsia="zh-CN"/>
              </w:rPr>
              <w:t>。</w:t>
            </w:r>
          </w:p>
          <w:p w14:paraId="435E9334">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2、采用</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7寸液晶屏显示，支持展示客流和报警数据</w:t>
            </w:r>
            <w:r>
              <w:rPr>
                <w:rFonts w:hint="eastAsia" w:ascii="仿宋_GB2312" w:hAnsi="仿宋_GB2312" w:eastAsia="仿宋_GB2312" w:cs="仿宋_GB2312"/>
                <w:sz w:val="28"/>
                <w:szCs w:val="28"/>
                <w:lang w:eastAsia="zh-CN"/>
              </w:rPr>
              <w:t>。</w:t>
            </w:r>
          </w:p>
          <w:p w14:paraId="63426949">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3、通行速度：应不小于0.2m/s～2.0m/s。当人在规定的通行速度范围内穿过时，应报警测试物正确响应并报警，总探测率应≥90%</w:t>
            </w:r>
            <w:r>
              <w:rPr>
                <w:rFonts w:hint="eastAsia" w:ascii="仿宋_GB2312" w:hAnsi="仿宋_GB2312" w:eastAsia="仿宋_GB2312" w:cs="仿宋_GB2312"/>
                <w:sz w:val="28"/>
                <w:szCs w:val="28"/>
                <w:lang w:eastAsia="zh-CN"/>
              </w:rPr>
              <w:t>。</w:t>
            </w:r>
          </w:p>
          <w:p w14:paraId="162A617E">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4、探测强度：在探测区左右边界各方内150mm形成的区域中，任意一点的磁感应强度都不应超过7μT</w:t>
            </w:r>
            <w:r>
              <w:rPr>
                <w:rFonts w:hint="eastAsia" w:ascii="仿宋_GB2312" w:hAnsi="仿宋_GB2312" w:eastAsia="仿宋_GB2312" w:cs="仿宋_GB2312"/>
                <w:sz w:val="28"/>
                <w:szCs w:val="28"/>
                <w:lang w:eastAsia="zh-CN"/>
              </w:rPr>
              <w:t>。</w:t>
            </w:r>
          </w:p>
          <w:p w14:paraId="4D8B0A40">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5、实时金属数值显示功能：样机切换到调试界面时，每个人通过安检门时，可显示出人身上的金属物品对应到每个防区的数值，也可以实时显示当前环境下的每个防区的环境干扰数值</w:t>
            </w:r>
            <w:r>
              <w:rPr>
                <w:rFonts w:hint="eastAsia" w:ascii="仿宋_GB2312" w:hAnsi="仿宋_GB2312" w:eastAsia="仿宋_GB2312" w:cs="仿宋_GB2312"/>
                <w:sz w:val="28"/>
                <w:szCs w:val="28"/>
                <w:lang w:eastAsia="zh-CN"/>
              </w:rPr>
              <w:t>。</w:t>
            </w:r>
          </w:p>
          <w:p w14:paraId="0268AAE0">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6、面板按键功能：机箱上安装有金属按键可通过按压按键实现LCD屏显示界面一键切换</w:t>
            </w:r>
            <w:r>
              <w:rPr>
                <w:rFonts w:hint="eastAsia" w:ascii="仿宋_GB2312" w:hAnsi="仿宋_GB2312" w:eastAsia="仿宋_GB2312" w:cs="仿宋_GB2312"/>
                <w:sz w:val="28"/>
                <w:szCs w:val="28"/>
                <w:lang w:eastAsia="zh-CN"/>
              </w:rPr>
              <w:t>。</w:t>
            </w:r>
          </w:p>
          <w:p w14:paraId="02D56593">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7、两侧门板</w:t>
            </w:r>
            <w:r>
              <w:rPr>
                <w:rFonts w:hint="eastAsia" w:ascii="仿宋_GB2312" w:hAnsi="仿宋_GB2312" w:eastAsia="仿宋_GB2312" w:cs="仿宋_GB2312"/>
                <w:sz w:val="28"/>
                <w:szCs w:val="28"/>
                <w:lang w:eastAsia="zh-CN"/>
              </w:rPr>
              <w:t>不少于</w:t>
            </w:r>
            <w:r>
              <w:rPr>
                <w:rFonts w:hint="eastAsia" w:ascii="仿宋_GB2312" w:hAnsi="仿宋_GB2312" w:eastAsia="仿宋_GB2312" w:cs="仿宋_GB2312"/>
                <w:sz w:val="28"/>
                <w:szCs w:val="28"/>
              </w:rPr>
              <w:t>1个RJ45网口、1个2路RS485报警输出</w:t>
            </w:r>
            <w:r>
              <w:rPr>
                <w:rFonts w:hint="eastAsia" w:ascii="仿宋_GB2312" w:hAnsi="仿宋_GB2312" w:eastAsia="仿宋_GB2312" w:cs="仿宋_GB2312"/>
                <w:sz w:val="28"/>
                <w:szCs w:val="28"/>
                <w:lang w:eastAsia="zh-CN"/>
              </w:rPr>
              <w:t>。</w:t>
            </w:r>
          </w:p>
        </w:tc>
      </w:tr>
      <w:tr w14:paraId="4E95B8CC">
        <w:tblPrEx>
          <w:tblCellMar>
            <w:top w:w="0" w:type="dxa"/>
            <w:left w:w="108" w:type="dxa"/>
            <w:bottom w:w="0" w:type="dxa"/>
            <w:right w:w="108" w:type="dxa"/>
          </w:tblCellMar>
        </w:tblPrEx>
        <w:trPr>
          <w:trHeight w:val="2212"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759EE">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5DD1C84A">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安检棒</w:t>
            </w:r>
          </w:p>
        </w:tc>
        <w:tc>
          <w:tcPr>
            <w:tcW w:w="5973" w:type="dxa"/>
            <w:tcBorders>
              <w:top w:val="single" w:color="auto" w:sz="4" w:space="0"/>
              <w:left w:val="single" w:color="auto" w:sz="4" w:space="0"/>
              <w:bottom w:val="single" w:color="auto" w:sz="4" w:space="0"/>
              <w:right w:val="single" w:color="auto" w:sz="4" w:space="0"/>
            </w:tcBorders>
            <w:shd w:val="clear" w:color="auto" w:fill="auto"/>
            <w:vAlign w:val="center"/>
          </w:tcPr>
          <w:p w14:paraId="61BAB3BD">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1、操作简单、方便、灵敏度高，能探测一枚大头针大小金属物品</w:t>
            </w:r>
            <w:r>
              <w:rPr>
                <w:rFonts w:hint="eastAsia" w:ascii="仿宋_GB2312" w:hAnsi="仿宋_GB2312" w:eastAsia="仿宋_GB2312" w:cs="仿宋_GB2312"/>
                <w:sz w:val="28"/>
                <w:szCs w:val="28"/>
                <w:lang w:eastAsia="zh-CN"/>
              </w:rPr>
              <w:t>。</w:t>
            </w:r>
          </w:p>
          <w:p w14:paraId="3BD16B6E">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2、探测面大、从上到下一次探测完毕、大大的提高工作效率</w:t>
            </w:r>
            <w:r>
              <w:rPr>
                <w:rFonts w:hint="eastAsia" w:ascii="仿宋_GB2312" w:hAnsi="仿宋_GB2312" w:eastAsia="仿宋_GB2312" w:cs="仿宋_GB2312"/>
                <w:sz w:val="28"/>
                <w:szCs w:val="28"/>
                <w:lang w:eastAsia="zh-CN"/>
              </w:rPr>
              <w:t>。</w:t>
            </w:r>
          </w:p>
          <w:p w14:paraId="17B30472">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3、具有三个指示灯显示，开机时绿色灯亮，探测时红色指示灯亮，电压降低时 黄色指示灯亮</w:t>
            </w:r>
            <w:r>
              <w:rPr>
                <w:rFonts w:hint="eastAsia" w:ascii="仿宋_GB2312" w:hAnsi="仿宋_GB2312" w:eastAsia="仿宋_GB2312" w:cs="仿宋_GB2312"/>
                <w:sz w:val="28"/>
                <w:szCs w:val="28"/>
                <w:lang w:eastAsia="zh-CN"/>
              </w:rPr>
              <w:t>。</w:t>
            </w:r>
          </w:p>
          <w:p w14:paraId="12C039F6">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4、突出特点是有声光和振动报警双重提示方式,准确快速判断金属位置具有高低灵敏度调节按钮，根据实际需求调节探测灵敏度</w:t>
            </w:r>
            <w:r>
              <w:rPr>
                <w:rFonts w:hint="eastAsia" w:ascii="仿宋_GB2312" w:hAnsi="仿宋_GB2312" w:eastAsia="仿宋_GB2312" w:cs="仿宋_GB2312"/>
                <w:sz w:val="28"/>
                <w:szCs w:val="28"/>
                <w:lang w:eastAsia="zh-CN"/>
              </w:rPr>
              <w:t>。</w:t>
            </w:r>
          </w:p>
          <w:p w14:paraId="6C455DF4">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5、灵敏度设置：一枚大头针大小金属物品(离探板距离</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 3.5cm)</w:t>
            </w:r>
            <w:r>
              <w:rPr>
                <w:rFonts w:hint="eastAsia" w:ascii="仿宋_GB2312" w:hAnsi="仿宋_GB2312" w:eastAsia="仿宋_GB2312" w:cs="仿宋_GB2312"/>
                <w:sz w:val="28"/>
                <w:szCs w:val="28"/>
                <w:lang w:eastAsia="zh-CN"/>
              </w:rPr>
              <w:t>。</w:t>
            </w:r>
          </w:p>
          <w:p w14:paraId="66D68413">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left"/>
              <w:textAlignment w:val="auto"/>
              <w:rPr>
                <w:rFonts w:hint="eastAsia" w:ascii="宋体" w:hAnsi="宋体" w:eastAsia="仿宋_GB2312" w:cs="宋体"/>
                <w:color w:val="000000"/>
                <w:kern w:val="0"/>
                <w:sz w:val="22"/>
                <w:lang w:eastAsia="zh-CN"/>
              </w:rPr>
            </w:pPr>
            <w:r>
              <w:rPr>
                <w:rFonts w:hint="eastAsia" w:ascii="仿宋_GB2312" w:hAnsi="仿宋_GB2312" w:eastAsia="仿宋_GB2312" w:cs="仿宋_GB2312"/>
                <w:sz w:val="28"/>
                <w:szCs w:val="28"/>
              </w:rPr>
              <w:t>6、工作电源：9V 电池(碱性电池、可充电电池)</w:t>
            </w:r>
            <w:r>
              <w:rPr>
                <w:rFonts w:hint="eastAsia" w:ascii="仿宋_GB2312" w:hAnsi="仿宋_GB2312" w:eastAsia="仿宋_GB2312" w:cs="仿宋_GB2312"/>
                <w:sz w:val="28"/>
                <w:szCs w:val="28"/>
                <w:lang w:eastAsia="zh-CN"/>
              </w:rPr>
              <w:t>。</w:t>
            </w:r>
          </w:p>
        </w:tc>
      </w:tr>
    </w:tbl>
    <w:p w14:paraId="49A9E06A">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注：所有技术参数均需提供</w:t>
      </w:r>
      <w:r>
        <w:rPr>
          <w:rFonts w:hint="eastAsia" w:ascii="仿宋" w:hAnsi="仿宋" w:eastAsia="仿宋" w:cs="仿宋"/>
          <w:color w:val="auto"/>
          <w:sz w:val="24"/>
          <w:szCs w:val="24"/>
          <w:highlight w:val="none"/>
          <w:lang w:eastAsia="zh-CN"/>
        </w:rPr>
        <w:t>产品检验报告或产品彩页</w:t>
      </w:r>
      <w:r>
        <w:rPr>
          <w:rFonts w:hint="eastAsia" w:ascii="仿宋" w:hAnsi="仿宋" w:eastAsia="仿宋" w:cs="仿宋"/>
          <w:color w:val="auto"/>
          <w:sz w:val="24"/>
          <w:szCs w:val="24"/>
          <w:highlight w:val="none"/>
        </w:rPr>
        <w:t>证明材料</w:t>
      </w:r>
      <w:r>
        <w:rPr>
          <w:rFonts w:hint="eastAsia" w:ascii="仿宋" w:hAnsi="仿宋" w:eastAsia="仿宋" w:cs="仿宋"/>
          <w:color w:val="auto"/>
          <w:sz w:val="24"/>
          <w:szCs w:val="24"/>
          <w:highlight w:val="none"/>
          <w:lang w:eastAsia="zh-CN"/>
        </w:rPr>
        <w:t>。</w:t>
      </w:r>
    </w:p>
    <w:p w14:paraId="59E028A0">
      <w:pPr>
        <w:numPr>
          <w:ilvl w:val="0"/>
          <w:numId w:val="0"/>
        </w:numPr>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2、供货要求：</w:t>
      </w:r>
    </w:p>
    <w:p w14:paraId="375D36A6">
      <w:pPr>
        <w:numPr>
          <w:ilvl w:val="0"/>
          <w:numId w:val="0"/>
        </w:numPr>
        <w:ind w:leftChars="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投标人必须提供未使用过的原装、全新的正品行货，并保证产品标准配件齐全，货物质量符合国家以及该产品的出厂标准和用户提出有关质量标准的货物。所有产品必须提供制造厂商供货证明和保修证明。</w:t>
      </w:r>
    </w:p>
    <w:p w14:paraId="21230C9A">
      <w:pPr>
        <w:numPr>
          <w:ilvl w:val="0"/>
          <w:numId w:val="0"/>
        </w:numPr>
        <w:ind w:leftChars="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商务要求：</w:t>
      </w:r>
    </w:p>
    <w:p w14:paraId="0CF727FF">
      <w:pPr>
        <w:numPr>
          <w:ilvl w:val="0"/>
          <w:numId w:val="7"/>
        </w:num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★投标人所投智能安检设备须无条件接入医院海康威视安防平台统一管理，提供</w:t>
      </w:r>
      <w:r>
        <w:rPr>
          <w:rFonts w:hint="eastAsia" w:ascii="仿宋_GB2312" w:hAnsi="仿宋_GB2312" w:eastAsia="仿宋_GB2312" w:cs="仿宋_GB2312"/>
          <w:sz w:val="28"/>
          <w:szCs w:val="28"/>
          <w:lang w:eastAsia="zh-CN"/>
        </w:rPr>
        <w:t>平台原</w:t>
      </w:r>
      <w:r>
        <w:rPr>
          <w:rFonts w:hint="eastAsia" w:ascii="仿宋_GB2312" w:hAnsi="仿宋_GB2312" w:eastAsia="仿宋_GB2312" w:cs="仿宋_GB2312"/>
          <w:sz w:val="28"/>
          <w:szCs w:val="28"/>
        </w:rPr>
        <w:t>厂家出具的盖章版兼容性承诺函</w:t>
      </w:r>
      <w:r>
        <w:rPr>
          <w:rFonts w:hint="eastAsia" w:ascii="仿宋_GB2312" w:hAnsi="仿宋_GB2312" w:eastAsia="仿宋_GB2312" w:cs="仿宋_GB2312"/>
          <w:sz w:val="28"/>
          <w:szCs w:val="28"/>
          <w:lang w:eastAsia="zh-CN"/>
        </w:rPr>
        <w:t>。</w:t>
      </w:r>
    </w:p>
    <w:p w14:paraId="58A72CB6">
      <w:pPr>
        <w:numPr>
          <w:ilvl w:val="0"/>
          <w:numId w:val="7"/>
        </w:numPr>
        <w:spacing w:line="360" w:lineRule="auto"/>
        <w:jc w:val="left"/>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交</w:t>
      </w:r>
      <w:r>
        <w:rPr>
          <w:rFonts w:hint="eastAsia" w:ascii="仿宋_GB2312" w:hAnsi="仿宋_GB2312" w:eastAsia="仿宋_GB2312" w:cs="仿宋_GB2312"/>
          <w:sz w:val="28"/>
          <w:szCs w:val="28"/>
          <w:lang w:val="en-US" w:eastAsia="zh-CN"/>
        </w:rPr>
        <w:t>货期/工期/服务期（天）</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lang w:val="en-US" w:eastAsia="zh-CN"/>
        </w:rPr>
        <w:t>本项目签订合同之日起项目整体建设周期要求在7个自然日内（其中包含设备拆除安装调试培训等）。</w:t>
      </w:r>
    </w:p>
    <w:p w14:paraId="028563F6">
      <w:pPr>
        <w:numPr>
          <w:ilvl w:val="0"/>
          <w:numId w:val="7"/>
        </w:num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u w:val="single"/>
          <w:lang w:val="en-US" w:eastAsia="zh-CN"/>
        </w:rPr>
        <w:t>深圳市前海蛇口自贸区医院2号楼。</w:t>
      </w:r>
    </w:p>
    <w:p w14:paraId="4B9E9F39">
      <w:pPr>
        <w:numPr>
          <w:ilvl w:val="0"/>
          <w:numId w:val="7"/>
        </w:numPr>
        <w:spacing w:line="360" w:lineRule="auto"/>
        <w:jc w:val="left"/>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付款进度和方式：</w:t>
      </w:r>
      <w:r>
        <w:rPr>
          <w:rFonts w:hint="eastAsia" w:ascii="仿宋_GB2312" w:hAnsi="仿宋_GB2312" w:eastAsia="仿宋_GB2312" w:cs="仿宋_GB2312"/>
          <w:sz w:val="28"/>
          <w:szCs w:val="28"/>
          <w:u w:val="single"/>
          <w:lang w:val="en-US" w:eastAsia="zh-CN"/>
        </w:rPr>
        <w:t>合同生效后，采购人将根据货物到货及验收进度情况分阶段付款。（1）合同签订完成后，采购人收到中标单位提供的合规发票后十个工作日内，支付合同金额的40%；（2）完成货物的性能验收后，支付合同金额的剩余60%。若采购人使用的是财政资金，其付款时间以向政府财政部门提出办理财政支付申请手续的时间为准（不含政府财政支付部门的审核时间）。在规定时间内，一旦采购人提出支付申请手续，即视为已按期支付。若因财政审批原因导致的延期付款，采购人不承担违约责任，中标单位继续履行约定的义务。若本项目财政下达的资金数额不足以支付合同约定的比例金额，采购人将按照实际财政下达的资金数额支付合同款，不足部分将待新的项目资金下达后进行支付 。</w:t>
      </w:r>
    </w:p>
    <w:p w14:paraId="523288F9">
      <w:pPr>
        <w:numPr>
          <w:ilvl w:val="0"/>
          <w:numId w:val="7"/>
        </w:num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售后服务：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在2年质保期内出现产品质量问题，由中标单位负责包修、包换或包退，并承担因此而产生的一切费用。</w:t>
      </w:r>
    </w:p>
    <w:p w14:paraId="00447016">
      <w:pPr>
        <w:pStyle w:val="2"/>
        <w:numPr>
          <w:ilvl w:val="0"/>
          <w:numId w:val="0"/>
        </w:numPr>
        <w:spacing w:before="0" w:after="0" w:line="240" w:lineRule="auto"/>
        <w:rPr>
          <w:rFonts w:hint="eastAsia" w:ascii="仿宋" w:hAnsi="仿宋" w:eastAsia="仿宋"/>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eastAsia="zh-CN"/>
        </w:rPr>
        <w:t>）</w:t>
      </w:r>
      <w:r>
        <w:rPr>
          <w:rFonts w:hint="eastAsia" w:ascii="仿宋" w:hAnsi="仿宋" w:eastAsia="仿宋"/>
          <w:sz w:val="28"/>
          <w:szCs w:val="28"/>
        </w:rPr>
        <w:t>评审规则</w:t>
      </w:r>
      <w:r>
        <w:rPr>
          <w:rFonts w:hint="eastAsia" w:ascii="仿宋" w:hAnsi="仿宋" w:eastAsia="仿宋"/>
          <w:sz w:val="28"/>
          <w:szCs w:val="28"/>
          <w:lang w:eastAsia="zh-CN"/>
        </w:rPr>
        <w:t>：</w:t>
      </w:r>
    </w:p>
    <w:p w14:paraId="57291F7A">
      <w:pPr>
        <w:adjustRightInd w:val="0"/>
        <w:snapToGrid w:val="0"/>
        <w:jc w:val="left"/>
        <w:rPr>
          <w:rFonts w:hint="eastAsia" w:ascii="仿宋_GB2312" w:hAnsi="仿宋_GB2312" w:eastAsia="仿宋_GB2312" w:cs="仿宋_GB2312"/>
          <w:sz w:val="28"/>
          <w:szCs w:val="28"/>
          <w:lang w:eastAsia="zh-CN"/>
        </w:rPr>
      </w:pPr>
      <w:r>
        <w:rPr>
          <w:rFonts w:hint="eastAsia" w:ascii="仿宋" w:hAnsi="仿宋" w:eastAsia="仿宋"/>
          <w:sz w:val="28"/>
          <w:szCs w:val="28"/>
        </w:rPr>
        <w:t>评标方法：综合评分法</w:t>
      </w:r>
      <w:bookmarkStart w:id="0" w:name="_GoBack"/>
      <w:bookmarkEnd w:id="0"/>
    </w:p>
    <w:p w14:paraId="7251FBDD">
      <w:pPr>
        <w:adjustRightInd w:val="0"/>
        <w:snapToGrid w:val="0"/>
        <w:ind w:firstLine="560" w:firstLineChars="200"/>
        <w:jc w:val="left"/>
        <w:rPr>
          <w:rFonts w:hint="eastAsia" w:ascii="仿宋_GB2312" w:hAnsi="仿宋_GB2312" w:eastAsia="仿宋_GB2312" w:cs="仿宋_GB2312"/>
          <w:sz w:val="28"/>
          <w:szCs w:val="28"/>
          <w:lang w:eastAsia="zh-CN"/>
        </w:rPr>
      </w:pPr>
    </w:p>
    <w:p w14:paraId="5BAD865C">
      <w:pPr>
        <w:adjustRightInd w:val="0"/>
        <w:snapToGrid w:val="0"/>
        <w:ind w:firstLine="560" w:firstLineChars="200"/>
        <w:jc w:val="left"/>
        <w:rPr>
          <w:rFonts w:hint="eastAsia" w:ascii="仿宋_GB2312" w:hAnsi="仿宋_GB2312" w:eastAsia="仿宋_GB2312" w:cs="仿宋_GB2312"/>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BB20ECC7"/>
    <w:multiLevelType w:val="singleLevel"/>
    <w:tmpl w:val="BB20ECC7"/>
    <w:lvl w:ilvl="0" w:tentative="0">
      <w:start w:val="1"/>
      <w:numFmt w:val="decimal"/>
      <w:suff w:val="nothing"/>
      <w:lvlText w:val="（%1）"/>
      <w:lvlJc w:val="left"/>
    </w:lvl>
  </w:abstractNum>
  <w:abstractNum w:abstractNumId="3">
    <w:nsid w:val="D581D833"/>
    <w:multiLevelType w:val="singleLevel"/>
    <w:tmpl w:val="D581D833"/>
    <w:lvl w:ilvl="0" w:tentative="0">
      <w:start w:val="1"/>
      <w:numFmt w:val="decimal"/>
      <w:lvlText w:val="%1."/>
      <w:lvlJc w:val="left"/>
      <w:pPr>
        <w:ind w:left="425" w:hanging="425"/>
      </w:pPr>
      <w:rPr>
        <w:rFonts w:hint="default"/>
      </w:rPr>
    </w:lvl>
  </w:abstractNum>
  <w:abstractNum w:abstractNumId="4">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4D2419"/>
    <w:multiLevelType w:val="singleLevel"/>
    <w:tmpl w:val="4F4D2419"/>
    <w:lvl w:ilvl="0" w:tentative="0">
      <w:start w:val="1"/>
      <w:numFmt w:val="decimal"/>
      <w:lvlText w:val="(%1)"/>
      <w:lvlJc w:val="left"/>
      <w:pPr>
        <w:ind w:left="425" w:hanging="425"/>
      </w:pPr>
      <w:rPr>
        <w:rFonts w:hint="default"/>
      </w:rPr>
    </w:lvl>
  </w:abstractNum>
  <w:abstractNum w:abstractNumId="6">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216720"/>
    <w:rsid w:val="002277A4"/>
    <w:rsid w:val="00681410"/>
    <w:rsid w:val="0078244A"/>
    <w:rsid w:val="008914B7"/>
    <w:rsid w:val="00B97AED"/>
    <w:rsid w:val="00C9106E"/>
    <w:rsid w:val="00F43941"/>
    <w:rsid w:val="04C11604"/>
    <w:rsid w:val="068B1EC9"/>
    <w:rsid w:val="0C6A7D1D"/>
    <w:rsid w:val="0D532C76"/>
    <w:rsid w:val="0F952435"/>
    <w:rsid w:val="125A4E46"/>
    <w:rsid w:val="165027E5"/>
    <w:rsid w:val="169D3D23"/>
    <w:rsid w:val="1AF7459C"/>
    <w:rsid w:val="1C4A5F2B"/>
    <w:rsid w:val="1FA707DC"/>
    <w:rsid w:val="21843C8D"/>
    <w:rsid w:val="225431F1"/>
    <w:rsid w:val="268A3AF4"/>
    <w:rsid w:val="28BF73E4"/>
    <w:rsid w:val="2B033E75"/>
    <w:rsid w:val="2CBA4A07"/>
    <w:rsid w:val="2F8A7114"/>
    <w:rsid w:val="312A0667"/>
    <w:rsid w:val="31BC3D81"/>
    <w:rsid w:val="33721B98"/>
    <w:rsid w:val="345D1B1D"/>
    <w:rsid w:val="36870911"/>
    <w:rsid w:val="386B2CF7"/>
    <w:rsid w:val="3BE455FD"/>
    <w:rsid w:val="3F786788"/>
    <w:rsid w:val="3FF1653A"/>
    <w:rsid w:val="418F2299"/>
    <w:rsid w:val="424D7F48"/>
    <w:rsid w:val="47946129"/>
    <w:rsid w:val="4C4243A5"/>
    <w:rsid w:val="4CD8739E"/>
    <w:rsid w:val="4F624D5E"/>
    <w:rsid w:val="516B1265"/>
    <w:rsid w:val="527F51C1"/>
    <w:rsid w:val="539D45B7"/>
    <w:rsid w:val="59266DFD"/>
    <w:rsid w:val="607B6CFE"/>
    <w:rsid w:val="60803296"/>
    <w:rsid w:val="645C670E"/>
    <w:rsid w:val="6C70102E"/>
    <w:rsid w:val="6D282CEC"/>
    <w:rsid w:val="6E0472B5"/>
    <w:rsid w:val="74974D88"/>
    <w:rsid w:val="74B15375"/>
    <w:rsid w:val="7BB7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left="704" w:hanging="420"/>
    </w:pPr>
    <w:rPr>
      <w:rFonts w:ascii="Times New Roman" w:hAnsi="Times New Roman" w:eastAsia="黑体" w:cs="Times New Roman"/>
      <w:sz w:val="32"/>
      <w:szCs w:val="24"/>
    </w:rPr>
  </w:style>
  <w:style w:type="character" w:customStyle="1" w:styleId="12">
    <w:name w:val="标题 1 字符"/>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3984</Words>
  <Characters>4157</Characters>
  <Lines>7</Lines>
  <Paragraphs>2</Paragraphs>
  <TotalTime>101</TotalTime>
  <ScaleCrop>false</ScaleCrop>
  <LinksUpToDate>false</LinksUpToDate>
  <CharactersWithSpaces>4244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JH</cp:lastModifiedBy>
  <dcterms:modified xsi:type="dcterms:W3CDTF">2025-09-05T03:05:48Z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BE2A09316B7541A0A708ABDDCF807414_13</vt:lpwstr>
  </property>
  <property fmtid="{D5CDD505-2E9C-101B-9397-08002B2CF9AE}" pid="4" name="KSOTemplateDocerSaveRecord">
    <vt:lpwstr>eyJoZGlkIjoiOTgxNzhhZWVjZDVjYzFiNzUyN2FlYmU1YTIwNTA2N2MiLCJ1c2VySWQiOiIxMTI2ODg3MDA2In0=</vt:lpwstr>
  </property>
</Properties>
</file>