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4FAD1">
      <w:pPr>
        <w:pStyle w:val="10"/>
        <w:pageBreakBefore w:val="0"/>
        <w:widowControl/>
        <w:numPr>
          <w:ilvl w:val="0"/>
          <w:numId w:val="1"/>
        </w:numPr>
        <w:kinsoku/>
        <w:wordWrap/>
        <w:overflowPunct/>
        <w:topLinePunct w:val="0"/>
        <w:bidi w:val="0"/>
        <w:spacing w:afterAutospacing="0" w:line="360" w:lineRule="auto"/>
        <w:jc w:val="left"/>
        <w:textAlignment w:val="auto"/>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项目基本情况</w:t>
      </w:r>
    </w:p>
    <w:p w14:paraId="0F03CDB6">
      <w:pPr>
        <w:pStyle w:val="10"/>
        <w:pageBreakBefore w:val="0"/>
        <w:widowControl/>
        <w:numPr>
          <w:ilvl w:val="0"/>
          <w:numId w:val="2"/>
        </w:numPr>
        <w:kinsoku/>
        <w:wordWrap/>
        <w:overflowPunct/>
        <w:topLinePunct w:val="0"/>
        <w:bidi w:val="0"/>
        <w:spacing w:afterAutospacing="0" w:line="360" w:lineRule="auto"/>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项目名称：人力资源管理系统维保服务</w:t>
      </w:r>
    </w:p>
    <w:p w14:paraId="5EA24824">
      <w:pPr>
        <w:pStyle w:val="10"/>
        <w:pageBreakBefore w:val="0"/>
        <w:widowControl/>
        <w:numPr>
          <w:ilvl w:val="0"/>
          <w:numId w:val="2"/>
        </w:numPr>
        <w:kinsoku/>
        <w:wordWrap/>
        <w:overflowPunct/>
        <w:topLinePunct w:val="0"/>
        <w:bidi w:val="0"/>
        <w:spacing w:afterAutospacing="0" w:line="360" w:lineRule="auto"/>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项目预算（单位：万元）：</w:t>
      </w:r>
      <w:r>
        <w:rPr>
          <w:rFonts w:hint="eastAsia" w:ascii="仿宋_GB2312" w:hAnsi="仿宋_GB2312" w:eastAsia="仿宋_GB2312" w:cs="仿宋_GB2312"/>
          <w:kern w:val="0"/>
          <w:sz w:val="28"/>
          <w:szCs w:val="28"/>
          <w:lang w:val="en-US" w:eastAsia="zh-CN"/>
        </w:rPr>
        <w:t>8.5万元</w:t>
      </w:r>
    </w:p>
    <w:p w14:paraId="6AEC86E5">
      <w:pPr>
        <w:pStyle w:val="10"/>
        <w:pageBreakBefore w:val="0"/>
        <w:widowControl/>
        <w:numPr>
          <w:ilvl w:val="0"/>
          <w:numId w:val="2"/>
        </w:numPr>
        <w:kinsoku/>
        <w:wordWrap/>
        <w:overflowPunct/>
        <w:topLinePunct w:val="0"/>
        <w:bidi w:val="0"/>
        <w:spacing w:afterAutospacing="0" w:line="360" w:lineRule="auto"/>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项目报价类型（总价）：总价</w:t>
      </w:r>
    </w:p>
    <w:p w14:paraId="15313C03">
      <w:pPr>
        <w:pStyle w:val="10"/>
        <w:pageBreakBefore w:val="0"/>
        <w:widowControl/>
        <w:numPr>
          <w:ilvl w:val="0"/>
          <w:numId w:val="2"/>
        </w:numPr>
        <w:kinsoku/>
        <w:wordWrap/>
        <w:overflowPunct/>
        <w:topLinePunct w:val="0"/>
        <w:bidi w:val="0"/>
        <w:spacing w:afterAutospacing="0" w:line="360" w:lineRule="auto"/>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资金来源：单位资金</w:t>
      </w:r>
    </w:p>
    <w:p w14:paraId="449913BA">
      <w:pPr>
        <w:pStyle w:val="10"/>
        <w:pageBreakBefore w:val="0"/>
        <w:widowControl/>
        <w:numPr>
          <w:ilvl w:val="0"/>
          <w:numId w:val="2"/>
        </w:numPr>
        <w:kinsoku/>
        <w:wordWrap/>
        <w:overflowPunct/>
        <w:topLinePunct w:val="0"/>
        <w:bidi w:val="0"/>
        <w:spacing w:afterAutospacing="0" w:line="360" w:lineRule="auto"/>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采购类别（货物/服务/工程）：服务</w:t>
      </w:r>
    </w:p>
    <w:p w14:paraId="2F3BD217">
      <w:pPr>
        <w:pStyle w:val="10"/>
        <w:pageBreakBefore w:val="0"/>
        <w:widowControl/>
        <w:numPr>
          <w:ilvl w:val="0"/>
          <w:numId w:val="1"/>
        </w:numPr>
        <w:kinsoku/>
        <w:wordWrap/>
        <w:overflowPunct/>
        <w:topLinePunct w:val="0"/>
        <w:bidi w:val="0"/>
        <w:spacing w:afterAutospacing="0" w:line="360" w:lineRule="auto"/>
        <w:jc w:val="lef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b/>
          <w:color w:val="000000" w:themeColor="text1"/>
          <w:kern w:val="0"/>
          <w:sz w:val="28"/>
          <w:szCs w:val="28"/>
          <w14:textFill>
            <w14:solidFill>
              <w14:schemeClr w14:val="tx1"/>
            </w14:solidFill>
          </w14:textFill>
        </w:rPr>
        <w:t>项目采购需求：</w:t>
      </w:r>
    </w:p>
    <w:p w14:paraId="5F0073C2">
      <w:pPr>
        <w:pStyle w:val="10"/>
        <w:pageBreakBefore w:val="0"/>
        <w:widowControl/>
        <w:kinsoku/>
        <w:wordWrap/>
        <w:overflowPunct/>
        <w:topLinePunct w:val="0"/>
        <w:bidi w:val="0"/>
        <w:spacing w:afterAutospacing="0" w:line="360" w:lineRule="auto"/>
        <w:ind w:left="0" w:firstLine="0"/>
        <w:jc w:val="lef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（一）采购项目需实现的功能和目标：</w:t>
      </w:r>
      <w:r>
        <w:rPr>
          <w:rFonts w:hint="eastAsia" w:ascii="仿宋_GB2312" w:hAnsi="仿宋_GB2312" w:eastAsia="仿宋_GB2312" w:cs="仿宋_GB2312"/>
          <w:sz w:val="28"/>
          <w:szCs w:val="28"/>
          <w:u w:val="single"/>
        </w:rPr>
        <w:t>对医院现使用</w:t>
      </w:r>
      <w:r>
        <w:rPr>
          <w:rFonts w:hint="eastAsia" w:ascii="仿宋_GB2312" w:hAnsi="仿宋_GB2312" w:eastAsia="仿宋_GB2312" w:cs="仿宋_GB2312"/>
          <w:sz w:val="28"/>
          <w:szCs w:val="28"/>
          <w:u w:val="single"/>
          <w:lang w:val="en-US" w:eastAsia="zh-CN"/>
        </w:rPr>
        <w:t>的仁智云医</w:t>
      </w:r>
      <w:r>
        <w:rPr>
          <w:rFonts w:hint="eastAsia" w:ascii="仿宋_GB2312" w:hAnsi="仿宋_GB2312" w:eastAsia="仿宋_GB2312" w:cs="仿宋_GB2312"/>
          <w:sz w:val="28"/>
          <w:szCs w:val="28"/>
          <w:u w:val="single"/>
        </w:rPr>
        <w:t>人力资源管理系统</w:t>
      </w:r>
      <w:r>
        <w:rPr>
          <w:rFonts w:hint="eastAsia" w:ascii="仿宋_GB2312" w:hAnsi="仿宋_GB2312" w:eastAsia="仿宋_GB2312" w:cs="仿宋_GB2312"/>
          <w:sz w:val="28"/>
          <w:szCs w:val="28"/>
          <w:u w:val="single"/>
          <w:lang w:val="en-US" w:eastAsia="zh-CN"/>
        </w:rPr>
        <w:t>V3.0进行</w:t>
      </w:r>
      <w:r>
        <w:rPr>
          <w:rFonts w:hint="eastAsia" w:ascii="仿宋_GB2312" w:hAnsi="仿宋_GB2312" w:eastAsia="仿宋_GB2312" w:cs="仿宋_GB2312"/>
          <w:sz w:val="28"/>
          <w:szCs w:val="28"/>
          <w:u w:val="single"/>
        </w:rPr>
        <w:t>维保服务。</w:t>
      </w:r>
    </w:p>
    <w:p w14:paraId="1DA6E4BA">
      <w:pPr>
        <w:pageBreakBefore w:val="0"/>
        <w:kinsoku/>
        <w:wordWrap/>
        <w:overflowPunct/>
        <w:topLinePunct w:val="0"/>
        <w:bidi w:val="0"/>
        <w:spacing w:afterAutospacing="0"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（二）项目属性：</w:t>
      </w:r>
    </w:p>
    <w:p w14:paraId="6CC72925">
      <w:pPr>
        <w:pageBreakBefore w:val="0"/>
        <w:numPr>
          <w:ilvl w:val="0"/>
          <w:numId w:val="3"/>
        </w:numPr>
        <w:kinsoku/>
        <w:wordWrap/>
        <w:overflowPunct/>
        <w:topLinePunct w:val="0"/>
        <w:bidi w:val="0"/>
        <w:spacing w:afterAutospacing="0"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是否适宜由中小企业提供，并专门面向中小企业采购 </w:t>
      </w:r>
    </w:p>
    <w:p w14:paraId="18AB412E">
      <w:pPr>
        <w:pageBreakBefore w:val="0"/>
        <w:numPr>
          <w:ilvl w:val="0"/>
          <w:numId w:val="4"/>
        </w:numPr>
        <w:kinsoku/>
        <w:wordWrap/>
        <w:overflowPunct/>
        <w:topLinePunct w:val="0"/>
        <w:bidi w:val="0"/>
        <w:spacing w:afterAutospacing="0" w:line="360" w:lineRule="auto"/>
        <w:textAlignment w:val="auto"/>
        <w:rPr>
          <w:rFonts w:hint="eastAsia" w:ascii="仿宋_GB2312" w:hAnsi="仿宋_GB2312" w:eastAsia="仿宋_GB2312" w:cs="仿宋_GB2312"/>
          <w:sz w:val="28"/>
          <w:szCs w:val="28"/>
        </w:rPr>
      </w:pPr>
      <w:r>
        <w:rPr>
          <w:rFonts w:ascii="Segoe UI Symbol" w:hAnsi="Segoe UI Symbol" w:eastAsia="仿宋_GB2312" w:cs="Segoe UI Symbol"/>
          <w:sz w:val="28"/>
          <w:szCs w:val="28"/>
        </w:rPr>
        <w:t>☑</w:t>
      </w:r>
      <w:r>
        <w:rPr>
          <w:rFonts w:hint="eastAsia" w:ascii="仿宋_GB2312" w:hAnsi="仿宋_GB2312" w:eastAsia="仿宋_GB2312" w:cs="仿宋_GB2312"/>
          <w:sz w:val="28"/>
          <w:szCs w:val="28"/>
        </w:rPr>
        <w:t>是         □是否仅面向小微企业</w:t>
      </w:r>
    </w:p>
    <w:p w14:paraId="0A4B3FA3">
      <w:pPr>
        <w:pageBreakBefore w:val="0"/>
        <w:numPr>
          <w:ilvl w:val="0"/>
          <w:numId w:val="4"/>
        </w:numPr>
        <w:kinsoku/>
        <w:wordWrap/>
        <w:overflowPunct/>
        <w:topLinePunct w:val="0"/>
        <w:bidi w:val="0"/>
        <w:spacing w:afterAutospacing="0" w:line="360" w:lineRule="auto"/>
        <w:textAlignment w:val="auto"/>
        <w:rPr>
          <w:rFonts w:hint="eastAsia" w:ascii="仿宋" w:hAnsi="仿宋" w:eastAsia="仿宋"/>
          <w:sz w:val="28"/>
          <w:szCs w:val="28"/>
          <w:u w:val="single"/>
        </w:rPr>
      </w:pPr>
      <w:r>
        <w:rPr>
          <w:rFonts w:hint="eastAsia" w:ascii="仿宋_GB2312" w:hAnsi="仿宋_GB2312" w:eastAsia="仿宋_GB2312" w:cs="仿宋_GB2312"/>
          <w:sz w:val="28"/>
          <w:szCs w:val="28"/>
        </w:rPr>
        <w:t>□否，原因说明</w:t>
      </w:r>
      <w:r>
        <w:rPr>
          <w:rFonts w:hint="eastAsia" w:ascii="仿宋_GB2312" w:hAnsi="仿宋_GB2312" w:eastAsia="仿宋_GB2312" w:cs="仿宋_GB2312"/>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w:t>
      </w:r>
    </w:p>
    <w:p w14:paraId="536C777E">
      <w:pPr>
        <w:pageBreakBefore w:val="0"/>
        <w:numPr>
          <w:ilvl w:val="0"/>
          <w:numId w:val="5"/>
        </w:numPr>
        <w:kinsoku/>
        <w:wordWrap/>
        <w:overflowPunct/>
        <w:topLinePunct w:val="0"/>
        <w:bidi w:val="0"/>
        <w:spacing w:afterAutospacing="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是否接受联合体投标</w:t>
      </w:r>
      <w:r>
        <w:rPr>
          <w:rFonts w:hint="eastAsia" w:ascii="仿宋_GB2312" w:hAnsi="仿宋_GB2312" w:eastAsia="仿宋_GB2312" w:cs="仿宋_GB2312"/>
          <w:sz w:val="28"/>
          <w:szCs w:val="28"/>
        </w:rPr>
        <w:t xml:space="preserve">：  □是    </w:t>
      </w:r>
      <w:r>
        <w:rPr>
          <w:rFonts w:ascii="Segoe UI Symbol" w:hAnsi="Segoe UI Symbol" w:eastAsia="仿宋_GB2312" w:cs="Segoe UI Symbol"/>
          <w:sz w:val="28"/>
          <w:szCs w:val="28"/>
        </w:rPr>
        <w:t>☑</w:t>
      </w:r>
      <w:r>
        <w:rPr>
          <w:rFonts w:hint="eastAsia" w:ascii="仿宋_GB2312" w:hAnsi="仿宋_GB2312" w:eastAsia="仿宋_GB2312" w:cs="仿宋_GB2312"/>
          <w:sz w:val="28"/>
          <w:szCs w:val="28"/>
        </w:rPr>
        <w:t>否</w:t>
      </w:r>
    </w:p>
    <w:p w14:paraId="3C20350F">
      <w:pPr>
        <w:pageBreakBefore w:val="0"/>
        <w:kinsoku/>
        <w:wordWrap/>
        <w:overflowPunct/>
        <w:topLinePunct w:val="0"/>
        <w:bidi w:val="0"/>
        <w:spacing w:afterAutospacing="0" w:line="360" w:lineRule="auto"/>
        <w:textAlignment w:val="auto"/>
        <w:rPr>
          <w:rFonts w:hint="eastAsia" w:ascii="仿宋_GB2312" w:hAnsi="仿宋_GB2312" w:eastAsia="仿宋_GB2312" w:cs="仿宋_GB2312"/>
          <w:b/>
          <w:bCs/>
          <w:sz w:val="28"/>
          <w:szCs w:val="28"/>
        </w:rPr>
      </w:pPr>
      <w:r>
        <w:rPr>
          <w:rFonts w:hint="eastAsia" w:ascii="仿宋" w:hAnsi="仿宋" w:eastAsia="仿宋"/>
          <w:b/>
          <w:bCs/>
          <w:sz w:val="32"/>
          <w:szCs w:val="32"/>
        </w:rPr>
        <w:t>（</w:t>
      </w:r>
      <w:r>
        <w:rPr>
          <w:rFonts w:hint="eastAsia" w:ascii="仿宋_GB2312" w:hAnsi="仿宋_GB2312" w:eastAsia="仿宋_GB2312" w:cs="仿宋_GB2312"/>
          <w:b/>
          <w:bCs/>
          <w:sz w:val="28"/>
          <w:szCs w:val="28"/>
        </w:rPr>
        <w:t>四）采购标的汇总表：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2331"/>
        <w:gridCol w:w="1601"/>
        <w:gridCol w:w="968"/>
        <w:gridCol w:w="2082"/>
      </w:tblGrid>
      <w:tr w14:paraId="1F52A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2002" w:type="dxa"/>
            <w:shd w:val="clear" w:color="auto" w:fill="FFFFFF"/>
            <w:tcMar>
              <w:top w:w="0" w:type="dxa"/>
              <w:right w:w="0" w:type="dxa"/>
            </w:tcMar>
            <w:vAlign w:val="center"/>
          </w:tcPr>
          <w:p w14:paraId="37707BB9">
            <w:pPr>
              <w:pageBreakBefore w:val="0"/>
              <w:kinsoku/>
              <w:wordWrap/>
              <w:overflowPunct/>
              <w:topLinePunct w:val="0"/>
              <w:autoSpaceDE w:val="0"/>
              <w:autoSpaceDN w:val="0"/>
              <w:bidi w:val="0"/>
              <w:adjustRightInd w:val="0"/>
              <w:spacing w:afterAutospacing="0"/>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sz w:val="28"/>
                <w:szCs w:val="28"/>
              </w:rPr>
              <w:t>项目</w:t>
            </w:r>
            <w:r>
              <w:rPr>
                <w:rFonts w:hint="eastAsia" w:ascii="仿宋_GB2312" w:hAnsi="仿宋_GB2312" w:eastAsia="仿宋_GB2312" w:cs="仿宋_GB2312"/>
                <w:color w:val="000000" w:themeColor="text1"/>
                <w:kern w:val="0"/>
                <w:sz w:val="28"/>
                <w:szCs w:val="28"/>
                <w14:textFill>
                  <w14:solidFill>
                    <w14:schemeClr w14:val="tx1"/>
                  </w14:solidFill>
                </w14:textFill>
              </w:rPr>
              <w:t>名称</w:t>
            </w:r>
          </w:p>
        </w:tc>
        <w:tc>
          <w:tcPr>
            <w:tcW w:w="2331" w:type="dxa"/>
            <w:shd w:val="clear" w:color="auto" w:fill="FFFFFF"/>
            <w:tcMar>
              <w:top w:w="0" w:type="dxa"/>
              <w:right w:w="0" w:type="dxa"/>
            </w:tcMar>
            <w:vAlign w:val="center"/>
          </w:tcPr>
          <w:p w14:paraId="78603D2F">
            <w:pPr>
              <w:pageBreakBefore w:val="0"/>
              <w:kinsoku/>
              <w:wordWrap/>
              <w:overflowPunct/>
              <w:topLinePunct w:val="0"/>
              <w:autoSpaceDE w:val="0"/>
              <w:autoSpaceDN w:val="0"/>
              <w:bidi w:val="0"/>
              <w:adjustRightInd w:val="0"/>
              <w:spacing w:afterAutospacing="0"/>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品目 （政府采购品目分类目录）</w:t>
            </w:r>
          </w:p>
        </w:tc>
        <w:tc>
          <w:tcPr>
            <w:tcW w:w="1601" w:type="dxa"/>
            <w:shd w:val="clear" w:color="auto" w:fill="FFFFFF"/>
            <w:tcMar>
              <w:top w:w="0" w:type="dxa"/>
              <w:right w:w="0" w:type="dxa"/>
            </w:tcMar>
            <w:vAlign w:val="center"/>
          </w:tcPr>
          <w:p w14:paraId="79C6BE85">
            <w:pPr>
              <w:pageBreakBefore w:val="0"/>
              <w:kinsoku/>
              <w:wordWrap/>
              <w:overflowPunct/>
              <w:topLinePunct w:val="0"/>
              <w:autoSpaceDE w:val="0"/>
              <w:autoSpaceDN w:val="0"/>
              <w:bidi w:val="0"/>
              <w:adjustRightInd w:val="0"/>
              <w:spacing w:afterAutospacing="0"/>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计量单位</w:t>
            </w:r>
          </w:p>
        </w:tc>
        <w:tc>
          <w:tcPr>
            <w:tcW w:w="968" w:type="dxa"/>
            <w:shd w:val="clear" w:color="auto" w:fill="FFFFFF"/>
            <w:vAlign w:val="center"/>
          </w:tcPr>
          <w:p w14:paraId="1B9C45B8">
            <w:pPr>
              <w:pageBreakBefore w:val="0"/>
              <w:kinsoku/>
              <w:wordWrap/>
              <w:overflowPunct/>
              <w:topLinePunct w:val="0"/>
              <w:autoSpaceDE w:val="0"/>
              <w:autoSpaceDN w:val="0"/>
              <w:bidi w:val="0"/>
              <w:adjustRightInd w:val="0"/>
              <w:spacing w:afterAutospacing="0"/>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数量</w:t>
            </w:r>
          </w:p>
        </w:tc>
        <w:tc>
          <w:tcPr>
            <w:tcW w:w="2082" w:type="dxa"/>
            <w:shd w:val="clear" w:color="auto" w:fill="FFFFFF"/>
            <w:vAlign w:val="center"/>
          </w:tcPr>
          <w:p w14:paraId="32320792">
            <w:pPr>
              <w:pageBreakBefore w:val="0"/>
              <w:kinsoku/>
              <w:wordWrap/>
              <w:overflowPunct/>
              <w:topLinePunct w:val="0"/>
              <w:autoSpaceDE w:val="0"/>
              <w:autoSpaceDN w:val="0"/>
              <w:bidi w:val="0"/>
              <w:adjustRightInd w:val="0"/>
              <w:spacing w:afterAutospacing="0"/>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总预算（元）</w:t>
            </w:r>
          </w:p>
        </w:tc>
      </w:tr>
      <w:tr w14:paraId="0CD7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002" w:type="dxa"/>
            <w:shd w:val="clear" w:color="auto" w:fill="FFFFFF"/>
            <w:tcMar>
              <w:top w:w="0" w:type="dxa"/>
              <w:right w:w="0" w:type="dxa"/>
            </w:tcMar>
            <w:vAlign w:val="center"/>
          </w:tcPr>
          <w:p w14:paraId="15ED43B1">
            <w:pPr>
              <w:pageBreakBefore w:val="0"/>
              <w:kinsoku/>
              <w:wordWrap/>
              <w:overflowPunct/>
              <w:topLinePunct w:val="0"/>
              <w:autoSpaceDE w:val="0"/>
              <w:autoSpaceDN w:val="0"/>
              <w:bidi w:val="0"/>
              <w:adjustRightInd w:val="0"/>
              <w:spacing w:afterAutospacing="0"/>
              <w:jc w:val="center"/>
              <w:textAlignment w:val="auto"/>
              <w:rPr>
                <w:rFonts w:hint="eastAsia" w:ascii="仿宋_GB2312" w:hAnsi="仿宋_GB2312" w:eastAsia="仿宋_GB2312" w:cs="仿宋_GB2312"/>
                <w:color w:val="5E6B87"/>
                <w:kern w:val="0"/>
                <w:sz w:val="28"/>
                <w:szCs w:val="28"/>
              </w:rPr>
            </w:pPr>
            <w:r>
              <w:rPr>
                <w:rFonts w:hint="eastAsia" w:ascii="仿宋_GB2312" w:hAnsi="仿宋_GB2312" w:eastAsia="仿宋_GB2312" w:cs="仿宋_GB2312"/>
                <w:kern w:val="0"/>
                <w:sz w:val="28"/>
                <w:szCs w:val="28"/>
              </w:rPr>
              <w:t>人力资源管理系统维保服务</w:t>
            </w:r>
          </w:p>
        </w:tc>
        <w:tc>
          <w:tcPr>
            <w:tcW w:w="2331" w:type="dxa"/>
            <w:shd w:val="clear" w:color="auto" w:fill="FFFFFF"/>
            <w:tcMar>
              <w:top w:w="0" w:type="dxa"/>
              <w:right w:w="0" w:type="dxa"/>
            </w:tcMar>
            <w:vAlign w:val="center"/>
          </w:tcPr>
          <w:p w14:paraId="2B7E95CD">
            <w:pPr>
              <w:pageBreakBefore w:val="0"/>
              <w:kinsoku/>
              <w:wordWrap/>
              <w:overflowPunct/>
              <w:topLinePunct w:val="0"/>
              <w:autoSpaceDE w:val="0"/>
              <w:autoSpaceDN w:val="0"/>
              <w:bidi w:val="0"/>
              <w:adjustRightInd w:val="0"/>
              <w:spacing w:afterAutospacing="0"/>
              <w:jc w:val="center"/>
              <w:textAlignment w:val="auto"/>
              <w:rPr>
                <w:rFonts w:hint="eastAsia" w:ascii="仿宋_GB2312" w:hAnsi="仿宋_GB2312" w:eastAsia="仿宋_GB2312" w:cs="仿宋_GB2312"/>
                <w:color w:val="5E6B87"/>
                <w:kern w:val="0"/>
                <w:sz w:val="28"/>
                <w:szCs w:val="28"/>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C16070300软件运维服务</w:t>
            </w:r>
          </w:p>
        </w:tc>
        <w:tc>
          <w:tcPr>
            <w:tcW w:w="1601" w:type="dxa"/>
            <w:shd w:val="clear" w:color="auto" w:fill="FFFFFF"/>
            <w:tcMar>
              <w:top w:w="0" w:type="dxa"/>
              <w:right w:w="0" w:type="dxa"/>
            </w:tcMar>
            <w:vAlign w:val="center"/>
          </w:tcPr>
          <w:p w14:paraId="1D1572C7">
            <w:pPr>
              <w:pageBreakBefore w:val="0"/>
              <w:kinsoku/>
              <w:wordWrap/>
              <w:overflowPunct/>
              <w:topLinePunct w:val="0"/>
              <w:autoSpaceDE w:val="0"/>
              <w:autoSpaceDN w:val="0"/>
              <w:bidi w:val="0"/>
              <w:adjustRightInd w:val="0"/>
              <w:spacing w:afterAutospacing="0"/>
              <w:jc w:val="center"/>
              <w:textAlignment w:val="auto"/>
              <w:rPr>
                <w:rFonts w:hint="eastAsia" w:ascii="仿宋_GB2312" w:hAnsi="仿宋_GB2312" w:eastAsia="仿宋_GB2312" w:cs="仿宋_GB2312"/>
                <w:color w:val="5E6B87"/>
                <w:kern w:val="0"/>
                <w:sz w:val="28"/>
                <w:szCs w:val="28"/>
                <w:lang w:eastAsia="zh-CN"/>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项</w:t>
            </w:r>
          </w:p>
        </w:tc>
        <w:tc>
          <w:tcPr>
            <w:tcW w:w="968" w:type="dxa"/>
            <w:shd w:val="clear" w:color="auto" w:fill="FFFFFF"/>
            <w:vAlign w:val="center"/>
          </w:tcPr>
          <w:p w14:paraId="682C0B82">
            <w:pPr>
              <w:pageBreakBefore w:val="0"/>
              <w:kinsoku/>
              <w:wordWrap/>
              <w:overflowPunct/>
              <w:topLinePunct w:val="0"/>
              <w:autoSpaceDE w:val="0"/>
              <w:autoSpaceDN w:val="0"/>
              <w:bidi w:val="0"/>
              <w:adjustRightInd w:val="0"/>
              <w:spacing w:afterAutospacing="0"/>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w:t>
            </w:r>
          </w:p>
        </w:tc>
        <w:tc>
          <w:tcPr>
            <w:tcW w:w="2082" w:type="dxa"/>
            <w:shd w:val="clear" w:color="auto" w:fill="FFFFFF"/>
            <w:vAlign w:val="center"/>
          </w:tcPr>
          <w:p w14:paraId="5B5F5BFB">
            <w:pPr>
              <w:pageBreakBefore w:val="0"/>
              <w:kinsoku/>
              <w:wordWrap/>
              <w:overflowPunct/>
              <w:topLinePunct w:val="0"/>
              <w:autoSpaceDE w:val="0"/>
              <w:autoSpaceDN w:val="0"/>
              <w:bidi w:val="0"/>
              <w:adjustRightInd w:val="0"/>
              <w:spacing w:afterAutospacing="0"/>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85</w:t>
            </w:r>
            <w:r>
              <w:rPr>
                <w:rFonts w:hint="eastAsia" w:ascii="仿宋_GB2312" w:hAnsi="仿宋_GB2312" w:eastAsia="仿宋_GB2312" w:cs="仿宋_GB2312"/>
                <w:color w:val="000000" w:themeColor="text1"/>
                <w:kern w:val="0"/>
                <w:sz w:val="28"/>
                <w:szCs w:val="28"/>
                <w14:textFill>
                  <w14:solidFill>
                    <w14:schemeClr w14:val="tx1"/>
                  </w14:solidFill>
                </w14:textFill>
              </w:rPr>
              <w:t>000</w:t>
            </w:r>
          </w:p>
        </w:tc>
      </w:tr>
    </w:tbl>
    <w:p w14:paraId="525D2A88">
      <w:pPr>
        <w:pageBreakBefore w:val="0"/>
        <w:kinsoku/>
        <w:wordWrap/>
        <w:overflowPunct/>
        <w:topLinePunct w:val="0"/>
        <w:bidi w:val="0"/>
        <w:spacing w:afterAutospacing="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（五）按照规定及项目情况设置投标供应商资格要求：</w:t>
      </w:r>
    </w:p>
    <w:p w14:paraId="40574F4C">
      <w:pPr>
        <w:keepNext w:val="0"/>
        <w:keepLines w:val="0"/>
        <w:pageBreakBefore w:val="0"/>
        <w:widowControl w:val="0"/>
        <w:kinsoku/>
        <w:wordWrap/>
        <w:overflowPunct/>
        <w:topLinePunct w:val="0"/>
        <w:autoSpaceDE/>
        <w:autoSpaceDN/>
        <w:bidi w:val="0"/>
        <w:adjustRightInd/>
        <w:snapToGrid/>
        <w:spacing w:afterAutospacing="0"/>
        <w:ind w:lef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1.具有独立法人资格或具有独立承担民事责任的能力的其它组织（提供营业执照或事业单位法人证等法人证明扫描件）。</w:t>
      </w:r>
    </w:p>
    <w:p w14:paraId="481A5365">
      <w:pPr>
        <w:keepNext w:val="0"/>
        <w:keepLines w:val="0"/>
        <w:pageBreakBefore w:val="0"/>
        <w:widowControl w:val="0"/>
        <w:kinsoku/>
        <w:wordWrap/>
        <w:overflowPunct/>
        <w:topLinePunct w:val="0"/>
        <w:autoSpaceDE/>
        <w:autoSpaceDN/>
        <w:bidi w:val="0"/>
        <w:adjustRightInd/>
        <w:snapToGrid/>
        <w:spacing w:afterAutospacing="0"/>
        <w:ind w:lef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.参与本项目政府采购活动时不存在被有关部门禁止参与政府采购活动且在有效期内的情况。</w:t>
      </w:r>
    </w:p>
    <w:p w14:paraId="4F050647">
      <w:pPr>
        <w:keepNext w:val="0"/>
        <w:keepLines w:val="0"/>
        <w:pageBreakBefore w:val="0"/>
        <w:widowControl w:val="0"/>
        <w:kinsoku/>
        <w:wordWrap/>
        <w:overflowPunct/>
        <w:topLinePunct w:val="0"/>
        <w:autoSpaceDE/>
        <w:autoSpaceDN/>
        <w:bidi w:val="0"/>
        <w:adjustRightInd/>
        <w:snapToGrid/>
        <w:spacing w:afterAutospacing="0"/>
        <w:ind w:lef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.单位负责人为同一人或者存在直接控股、管理关系的不同供应商，不得参加同一合同项下的政府采购活动</w:t>
      </w:r>
    </w:p>
    <w:p w14:paraId="18E0E0BE">
      <w:pPr>
        <w:pageBreakBefore w:val="0"/>
        <w:kinsoku/>
        <w:wordWrap/>
        <w:overflowPunct/>
        <w:topLinePunct w:val="0"/>
        <w:bidi w:val="0"/>
        <w:spacing w:afterAutospacing="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（六）技术、服务要求与商务要求：</w:t>
      </w:r>
    </w:p>
    <w:p w14:paraId="56D86AFE">
      <w:pPr>
        <w:pageBreakBefore w:val="0"/>
        <w:numPr>
          <w:ilvl w:val="0"/>
          <w:numId w:val="6"/>
        </w:numPr>
        <w:kinsoku/>
        <w:wordWrap/>
        <w:overflowPunct/>
        <w:topLinePunct w:val="0"/>
        <w:bidi w:val="0"/>
        <w:spacing w:afterAutospacing="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技术要求：</w:t>
      </w:r>
    </w:p>
    <w:p w14:paraId="0BBCB536">
      <w:pPr>
        <w:pageBreakBefore w:val="0"/>
        <w:numPr>
          <w:ilvl w:val="0"/>
          <w:numId w:val="7"/>
        </w:numPr>
        <w:kinsoku/>
        <w:wordWrap/>
        <w:overflowPunct/>
        <w:topLinePunct w:val="0"/>
        <w:bidi w:val="0"/>
        <w:spacing w:afterAutospacing="0"/>
        <w:ind w:left="425" w:leftChars="0" w:hanging="425"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服务</w:t>
      </w:r>
      <w:r>
        <w:rPr>
          <w:rFonts w:hint="eastAsia" w:ascii="仿宋_GB2312" w:hAnsi="仿宋_GB2312" w:eastAsia="仿宋_GB2312" w:cs="仿宋_GB2312"/>
          <w:sz w:val="28"/>
          <w:szCs w:val="28"/>
        </w:rPr>
        <w:t>范围</w:t>
      </w:r>
    </w:p>
    <w:p w14:paraId="739E72BF">
      <w:pPr>
        <w:pageBreakBefore w:val="0"/>
        <w:kinsoku/>
        <w:wordWrap/>
        <w:overflowPunct/>
        <w:topLinePunct w:val="0"/>
        <w:bidi w:val="0"/>
        <w:spacing w:afterAutospacing="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u w:val="none"/>
        </w:rPr>
        <w:t>对医院现使用</w:t>
      </w:r>
      <w:r>
        <w:rPr>
          <w:rFonts w:hint="eastAsia" w:ascii="仿宋_GB2312" w:hAnsi="仿宋_GB2312" w:eastAsia="仿宋_GB2312" w:cs="仿宋_GB2312"/>
          <w:sz w:val="28"/>
          <w:szCs w:val="28"/>
          <w:u w:val="none"/>
          <w:lang w:val="en-US" w:eastAsia="zh-CN"/>
        </w:rPr>
        <w:t>的仁智云医</w:t>
      </w:r>
      <w:r>
        <w:rPr>
          <w:rFonts w:hint="eastAsia" w:ascii="仿宋_GB2312" w:hAnsi="仿宋_GB2312" w:eastAsia="仿宋_GB2312" w:cs="仿宋_GB2312"/>
          <w:sz w:val="28"/>
          <w:szCs w:val="28"/>
          <w:u w:val="none"/>
        </w:rPr>
        <w:t>人力资源管理系统</w:t>
      </w:r>
      <w:r>
        <w:rPr>
          <w:rFonts w:hint="eastAsia" w:ascii="仿宋_GB2312" w:hAnsi="仿宋_GB2312" w:eastAsia="仿宋_GB2312" w:cs="仿宋_GB2312"/>
          <w:sz w:val="28"/>
          <w:szCs w:val="28"/>
          <w:u w:val="none"/>
          <w:lang w:val="en-US" w:eastAsia="zh-CN"/>
        </w:rPr>
        <w:t>V3.0进行</w:t>
      </w:r>
      <w:r>
        <w:rPr>
          <w:rFonts w:hint="eastAsia" w:ascii="仿宋_GB2312" w:hAnsi="仿宋_GB2312" w:eastAsia="仿宋_GB2312" w:cs="仿宋_GB2312"/>
          <w:sz w:val="28"/>
          <w:szCs w:val="28"/>
          <w:u w:val="none"/>
        </w:rPr>
        <w:t>维保服务</w:t>
      </w:r>
      <w:r>
        <w:rPr>
          <w:rFonts w:hint="eastAsia" w:ascii="仿宋_GB2312" w:hAnsi="仿宋_GB2312" w:eastAsia="仿宋_GB2312" w:cs="仿宋_GB2312"/>
          <w:sz w:val="28"/>
          <w:szCs w:val="28"/>
          <w:u w:val="none"/>
          <w:lang w:eastAsia="zh-CN"/>
        </w:rPr>
        <w:t>。</w:t>
      </w:r>
    </w:p>
    <w:p w14:paraId="6FA79344">
      <w:pPr>
        <w:pageBreakBefore w:val="0"/>
        <w:numPr>
          <w:ilvl w:val="0"/>
          <w:numId w:val="7"/>
        </w:numPr>
        <w:kinsoku/>
        <w:wordWrap/>
        <w:overflowPunct/>
        <w:topLinePunct w:val="0"/>
        <w:bidi w:val="0"/>
        <w:spacing w:afterAutospacing="0"/>
        <w:ind w:left="425" w:leftChars="0" w:hanging="425"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服务要求</w:t>
      </w:r>
    </w:p>
    <w:p w14:paraId="5AD588C5">
      <w:pPr>
        <w:pageBreakBefore w:val="0"/>
        <w:numPr>
          <w:ilvl w:val="0"/>
          <w:numId w:val="8"/>
        </w:numPr>
        <w:kinsoku/>
        <w:wordWrap/>
        <w:overflowPunct/>
        <w:topLinePunct w:val="0"/>
        <w:bidi w:val="0"/>
        <w:spacing w:afterAutospacing="0" w:line="360" w:lineRule="auto"/>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操作指导：系统电子操作说明手册，可在业务软件上直接打开查看，维保期内每半年更新一次； </w:t>
      </w:r>
    </w:p>
    <w:p w14:paraId="17A66E00">
      <w:pPr>
        <w:pageBreakBefore w:val="0"/>
        <w:numPr>
          <w:ilvl w:val="0"/>
          <w:numId w:val="8"/>
        </w:numPr>
        <w:kinsoku/>
        <w:wordWrap/>
        <w:overflowPunct/>
        <w:topLinePunct w:val="0"/>
        <w:bidi w:val="0"/>
        <w:spacing w:afterAutospacing="0" w:line="360" w:lineRule="auto"/>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巡检服务：</w:t>
      </w:r>
      <w:r>
        <w:rPr>
          <w:rFonts w:hint="eastAsia" w:asciiTheme="minorEastAsia" w:hAnsiTheme="minorEastAsia" w:eastAsiaTheme="minorEastAsia" w:cstheme="minorEastAsia"/>
          <w:sz w:val="21"/>
          <w:szCs w:val="21"/>
          <w:lang w:val="en-US" w:eastAsia="zh-CN"/>
        </w:rPr>
        <w:t>服务</w:t>
      </w:r>
      <w:r>
        <w:rPr>
          <w:rFonts w:hint="eastAsia" w:asciiTheme="minorEastAsia" w:hAnsiTheme="minorEastAsia" w:eastAsiaTheme="minorEastAsia" w:cstheme="minorEastAsia"/>
          <w:sz w:val="21"/>
          <w:szCs w:val="21"/>
        </w:rPr>
        <w:t>期</w:t>
      </w:r>
      <w:r>
        <w:rPr>
          <w:rFonts w:hint="eastAsia" w:asciiTheme="minorEastAsia" w:hAnsiTheme="minorEastAsia" w:eastAsiaTheme="minorEastAsia" w:cstheme="minorEastAsia"/>
          <w:sz w:val="21"/>
          <w:szCs w:val="21"/>
          <w:lang w:val="en-US" w:eastAsia="zh-CN"/>
        </w:rPr>
        <w:t>内</w:t>
      </w:r>
      <w:r>
        <w:rPr>
          <w:rFonts w:hint="eastAsia" w:asciiTheme="minorEastAsia" w:hAnsiTheme="minorEastAsia" w:eastAsiaTheme="minorEastAsia" w:cstheme="minorEastAsia"/>
          <w:sz w:val="21"/>
          <w:szCs w:val="21"/>
        </w:rPr>
        <w:t>由工程师每月至少对系统运行状况进行巡检 1 次，巡检范围</w:t>
      </w:r>
      <w:r>
        <w:rPr>
          <w:rFonts w:hint="eastAsia" w:asciiTheme="minorEastAsia" w:hAnsiTheme="minorEastAsia" w:eastAsiaTheme="minorEastAsia" w:cstheme="minorEastAsia"/>
          <w:sz w:val="21"/>
          <w:szCs w:val="21"/>
          <w:lang w:val="en-US" w:eastAsia="zh-CN"/>
        </w:rPr>
        <w:t>包括</w:t>
      </w:r>
      <w:r>
        <w:rPr>
          <w:rFonts w:hint="eastAsia" w:asciiTheme="minorEastAsia" w:hAnsiTheme="minorEastAsia" w:eastAsiaTheme="minorEastAsia" w:cstheme="minorEastAsia"/>
          <w:sz w:val="21"/>
          <w:szCs w:val="21"/>
        </w:rPr>
        <w:t>客户端、应用服务器、数据库服务器</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提交</w:t>
      </w:r>
      <w:r>
        <w:rPr>
          <w:rFonts w:hint="eastAsia" w:asciiTheme="minorEastAsia" w:hAnsiTheme="minorEastAsia" w:eastAsiaTheme="minorEastAsia" w:cstheme="minorEastAsia"/>
          <w:sz w:val="21"/>
          <w:szCs w:val="21"/>
        </w:rPr>
        <w:t>巡检报告</w:t>
      </w:r>
      <w:r>
        <w:rPr>
          <w:rFonts w:hint="eastAsia" w:asciiTheme="minorEastAsia" w:hAnsiTheme="minorEastAsia" w:eastAsiaTheme="minorEastAsia" w:cstheme="minorEastAsia"/>
          <w:sz w:val="21"/>
          <w:szCs w:val="21"/>
          <w:lang w:val="en-US" w:eastAsia="zh-CN"/>
        </w:rPr>
        <w:t>并经</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lang w:val="en-US" w:eastAsia="zh-CN"/>
        </w:rPr>
        <w:t>使用部门代表和</w:t>
      </w:r>
      <w:r>
        <w:rPr>
          <w:rFonts w:hint="eastAsia" w:asciiTheme="minorEastAsia" w:hAnsiTheme="minorEastAsia" w:eastAsiaTheme="minorEastAsia" w:cstheme="minorEastAsia"/>
          <w:sz w:val="21"/>
          <w:szCs w:val="21"/>
        </w:rPr>
        <w:t>系统主管工程师</w:t>
      </w:r>
      <w:r>
        <w:rPr>
          <w:rFonts w:hint="eastAsia" w:asciiTheme="minorEastAsia" w:hAnsiTheme="minorEastAsia" w:eastAsiaTheme="minorEastAsia" w:cstheme="minorEastAsia"/>
          <w:sz w:val="21"/>
          <w:szCs w:val="21"/>
          <w:lang w:val="en-US" w:eastAsia="zh-CN"/>
        </w:rPr>
        <w:t>签字确认</w:t>
      </w:r>
      <w:r>
        <w:rPr>
          <w:rFonts w:hint="eastAsia" w:asciiTheme="minorEastAsia" w:hAnsiTheme="minorEastAsia" w:eastAsiaTheme="minorEastAsia" w:cstheme="minorEastAsia"/>
          <w:sz w:val="21"/>
          <w:szCs w:val="21"/>
        </w:rPr>
        <w:t xml:space="preserve">。 </w:t>
      </w:r>
    </w:p>
    <w:p w14:paraId="3DD7F638">
      <w:pPr>
        <w:pageBreakBefore w:val="0"/>
        <w:numPr>
          <w:ilvl w:val="0"/>
          <w:numId w:val="8"/>
        </w:numPr>
        <w:kinsoku/>
        <w:wordWrap/>
        <w:overflowPunct/>
        <w:topLinePunct w:val="0"/>
        <w:bidi w:val="0"/>
        <w:spacing w:afterAutospacing="0" w:line="360" w:lineRule="auto"/>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故障排除：软件应用过程中出现功能故障时，协助查找、排除软件故障，保证系统功能正常运行； </w:t>
      </w:r>
    </w:p>
    <w:p w14:paraId="50354E18">
      <w:pPr>
        <w:pageBreakBefore w:val="0"/>
        <w:numPr>
          <w:ilvl w:val="0"/>
          <w:numId w:val="8"/>
        </w:numPr>
        <w:kinsoku/>
        <w:wordWrap/>
        <w:overflowPunct/>
        <w:topLinePunct w:val="0"/>
        <w:bidi w:val="0"/>
        <w:spacing w:afterAutospacing="0" w:line="360" w:lineRule="auto"/>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软件更新：对程序 BUG、程序错误提供定期的修复补丁包服务，定期优化软件功能和性能，在公司推出同版本的新升级程序后，对客户系统进行升级；</w:t>
      </w:r>
      <w:r>
        <w:rPr>
          <w:rFonts w:hint="eastAsia" w:asciiTheme="minorEastAsia" w:hAnsiTheme="minorEastAsia" w:eastAsiaTheme="minorEastAsia" w:cstheme="minorEastAsia"/>
          <w:sz w:val="21"/>
          <w:szCs w:val="21"/>
          <w:lang w:val="en-US" w:eastAsia="zh-CN"/>
        </w:rPr>
        <w:t>对前期开发模块进行完善，系统优化升级。</w:t>
      </w:r>
    </w:p>
    <w:p w14:paraId="4F709EF8">
      <w:pPr>
        <w:pageBreakBefore w:val="0"/>
        <w:numPr>
          <w:ilvl w:val="0"/>
          <w:numId w:val="8"/>
        </w:numPr>
        <w:kinsoku/>
        <w:wordWrap/>
        <w:overflowPunct/>
        <w:topLinePunct w:val="0"/>
        <w:bidi w:val="0"/>
        <w:spacing w:afterAutospacing="0" w:line="360" w:lineRule="auto"/>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日常维护：维保期对系统进行修正性维护、适应性维护、完善性维护、预期性维护，每次维护均建立维护记录并归档； </w:t>
      </w:r>
    </w:p>
    <w:p w14:paraId="44C5FD8E">
      <w:pPr>
        <w:pageBreakBefore w:val="0"/>
        <w:numPr>
          <w:ilvl w:val="0"/>
          <w:numId w:val="8"/>
        </w:numPr>
        <w:kinsoku/>
        <w:wordWrap/>
        <w:overflowPunct/>
        <w:topLinePunct w:val="0"/>
        <w:bidi w:val="0"/>
        <w:spacing w:afterAutospacing="0" w:line="360" w:lineRule="auto"/>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响应时间</w:t>
      </w:r>
      <w:r>
        <w:rPr>
          <w:rFonts w:hint="eastAsia" w:asciiTheme="minorEastAsia" w:hAnsiTheme="minorEastAsia" w:eastAsiaTheme="minorEastAsia" w:cstheme="minorEastAsia"/>
          <w:sz w:val="21"/>
          <w:szCs w:val="21"/>
        </w:rPr>
        <w:t>：供应商保证在服务期内，提供7*24小时技术支持(含节假日),如遇系统故障,2小时内电话响应，</w:t>
      </w:r>
      <w:r>
        <w:rPr>
          <w:rFonts w:hint="eastAsia" w:asciiTheme="minorEastAsia" w:hAnsiTheme="minorEastAsia" w:eastAsiaTheme="minorEastAsia" w:cstheme="minorEastAsia"/>
          <w:sz w:val="21"/>
          <w:szCs w:val="21"/>
          <w:lang w:val="en-US" w:eastAsia="zh-CN"/>
        </w:rPr>
        <w:t>必要时4小时内到达现场。要求48</w:t>
      </w:r>
      <w:r>
        <w:rPr>
          <w:rFonts w:hint="eastAsia" w:asciiTheme="minorEastAsia" w:hAnsiTheme="minorEastAsia" w:eastAsiaTheme="minorEastAsia" w:cstheme="minorEastAsia"/>
          <w:sz w:val="21"/>
          <w:szCs w:val="21"/>
        </w:rPr>
        <w:t>小时内排除故障</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如在</w:t>
      </w:r>
      <w:r>
        <w:rPr>
          <w:rFonts w:hint="eastAsia" w:asciiTheme="minorEastAsia" w:hAnsiTheme="minorEastAsia" w:eastAsiaTheme="minorEastAsia" w:cstheme="minorEastAsia"/>
          <w:sz w:val="21"/>
          <w:szCs w:val="21"/>
          <w:lang w:val="en-US" w:eastAsia="zh-CN"/>
        </w:rPr>
        <w:t>48</w:t>
      </w:r>
      <w:r>
        <w:rPr>
          <w:rFonts w:hint="eastAsia" w:asciiTheme="minorEastAsia" w:hAnsiTheme="minorEastAsia" w:eastAsiaTheme="minorEastAsia" w:cstheme="minorEastAsia"/>
          <w:sz w:val="21"/>
          <w:szCs w:val="21"/>
        </w:rPr>
        <w:t>小时内无法解决，</w:t>
      </w:r>
      <w:r>
        <w:rPr>
          <w:rFonts w:hint="eastAsia" w:asciiTheme="minorEastAsia" w:hAnsiTheme="minorEastAsia" w:eastAsiaTheme="minorEastAsia" w:cstheme="minorEastAsia"/>
          <w:sz w:val="21"/>
          <w:szCs w:val="21"/>
          <w:lang w:val="en-US" w:eastAsia="zh-CN"/>
        </w:rPr>
        <w:t>需</w:t>
      </w:r>
      <w:r>
        <w:rPr>
          <w:rFonts w:hint="eastAsia" w:asciiTheme="minorEastAsia" w:hAnsiTheme="minorEastAsia" w:eastAsiaTheme="minorEastAsia" w:cstheme="minorEastAsia"/>
          <w:sz w:val="21"/>
          <w:szCs w:val="21"/>
        </w:rPr>
        <w:t>向</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提出详细解决方案及日程安排，交给</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 xml:space="preserve">确认； </w:t>
      </w:r>
    </w:p>
    <w:p w14:paraId="311FB197">
      <w:pPr>
        <w:pageBreakBefore w:val="0"/>
        <w:numPr>
          <w:ilvl w:val="0"/>
          <w:numId w:val="8"/>
        </w:numPr>
        <w:kinsoku/>
        <w:wordWrap/>
        <w:overflowPunct/>
        <w:topLinePunct w:val="0"/>
        <w:bidi w:val="0"/>
        <w:spacing w:afterAutospacing="0" w:line="360" w:lineRule="auto"/>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应用迁移：协助进行应用迁移，提供必要的支持和指导； </w:t>
      </w:r>
    </w:p>
    <w:p w14:paraId="4F9A351A">
      <w:pPr>
        <w:pageBreakBefore w:val="0"/>
        <w:numPr>
          <w:ilvl w:val="0"/>
          <w:numId w:val="8"/>
        </w:numPr>
        <w:kinsoku/>
        <w:wordWrap/>
        <w:overflowPunct/>
        <w:topLinePunct w:val="0"/>
        <w:bidi w:val="0"/>
        <w:spacing w:afterAutospacing="0" w:line="360" w:lineRule="auto"/>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咨询服务：</w:t>
      </w:r>
      <w:r>
        <w:rPr>
          <w:rFonts w:hint="eastAsia" w:asciiTheme="minorEastAsia" w:hAnsiTheme="minorEastAsia" w:eastAsiaTheme="minorEastAsia" w:cstheme="minorEastAsia"/>
          <w:sz w:val="21"/>
          <w:szCs w:val="21"/>
          <w:lang w:val="en-US" w:eastAsia="zh-CN"/>
        </w:rPr>
        <w:t>对</w:t>
      </w:r>
      <w:r>
        <w:rPr>
          <w:rFonts w:hint="eastAsia" w:asciiTheme="minorEastAsia" w:hAnsiTheme="minorEastAsia" w:eastAsiaTheme="minorEastAsia" w:cstheme="minorEastAsia"/>
          <w:sz w:val="21"/>
          <w:szCs w:val="21"/>
        </w:rPr>
        <w:t xml:space="preserve">用户在系统操作过程中的咨询、疑问、建议进行解答； </w:t>
      </w:r>
    </w:p>
    <w:p w14:paraId="51498598">
      <w:pPr>
        <w:pageBreakBefore w:val="0"/>
        <w:numPr>
          <w:ilvl w:val="0"/>
          <w:numId w:val="8"/>
        </w:numPr>
        <w:kinsoku/>
        <w:wordWrap/>
        <w:overflowPunct/>
        <w:topLinePunct w:val="0"/>
        <w:bidi w:val="0"/>
        <w:spacing w:afterAutospacing="0" w:line="360" w:lineRule="auto"/>
        <w:ind w:left="0" w:lef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驻点服务</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服务</w:t>
      </w:r>
      <w:r>
        <w:rPr>
          <w:rFonts w:hint="eastAsia" w:asciiTheme="minorEastAsia" w:hAnsiTheme="minorEastAsia" w:eastAsiaTheme="minorEastAsia" w:cstheme="minorEastAsia"/>
          <w:sz w:val="21"/>
          <w:szCs w:val="21"/>
        </w:rPr>
        <w:t>期间</w:t>
      </w:r>
      <w:r>
        <w:rPr>
          <w:rFonts w:hint="eastAsia" w:asciiTheme="minorEastAsia" w:hAnsiTheme="minorEastAsia" w:eastAsiaTheme="minorEastAsia" w:cstheme="minorEastAsia"/>
          <w:sz w:val="21"/>
          <w:szCs w:val="21"/>
          <w:lang w:val="en-US" w:eastAsia="zh-CN"/>
        </w:rPr>
        <w:t>根据用户需要安排资深工程师到业务部门驻点70个工作日（由甲方系统使用部门进行考勤）。</w:t>
      </w:r>
      <w:r>
        <w:rPr>
          <w:rFonts w:hint="eastAsia" w:asciiTheme="minorEastAsia" w:hAnsiTheme="minorEastAsia" w:eastAsiaTheme="minorEastAsia" w:cstheme="minorEastAsia"/>
          <w:sz w:val="21"/>
          <w:szCs w:val="21"/>
        </w:rPr>
        <w:t>对业务部门人员及主管系统人员，进行系统操作、维护培训；公司提供系统运行状况检查方案及脚本并负责培训</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工程师，每半年升级更新内容</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系统</w:t>
      </w:r>
      <w:r>
        <w:rPr>
          <w:rFonts w:hint="eastAsia" w:asciiTheme="minorEastAsia" w:hAnsiTheme="minorEastAsia" w:eastAsiaTheme="minorEastAsia" w:cstheme="minorEastAsia"/>
          <w:sz w:val="21"/>
          <w:szCs w:val="21"/>
        </w:rPr>
        <w:t>数据</w:t>
      </w:r>
      <w:r>
        <w:rPr>
          <w:rFonts w:hint="eastAsia" w:asciiTheme="minorEastAsia" w:hAnsiTheme="minorEastAsia" w:eastAsiaTheme="minorEastAsia" w:cstheme="minorEastAsia"/>
          <w:sz w:val="21"/>
          <w:szCs w:val="21"/>
          <w:lang w:val="en-US" w:eastAsia="zh-CN"/>
        </w:rPr>
        <w:t>库服务要求</w:t>
      </w:r>
    </w:p>
    <w:p w14:paraId="5D6FC0AF">
      <w:pPr>
        <w:pageBreakBefore w:val="0"/>
        <w:numPr>
          <w:ilvl w:val="0"/>
          <w:numId w:val="8"/>
        </w:numPr>
        <w:kinsoku/>
        <w:wordWrap/>
        <w:overflowPunct/>
        <w:topLinePunct w:val="0"/>
        <w:bidi w:val="0"/>
        <w:spacing w:afterAutospacing="0" w:line="360" w:lineRule="auto"/>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问题日志远程处理：对数据库中产生的问题日志，提供远程查看与指导； </w:t>
      </w:r>
    </w:p>
    <w:p w14:paraId="4C61FA53">
      <w:pPr>
        <w:pageBreakBefore w:val="0"/>
        <w:numPr>
          <w:ilvl w:val="0"/>
          <w:numId w:val="8"/>
        </w:numPr>
        <w:kinsoku/>
        <w:wordWrap/>
        <w:overflowPunct/>
        <w:topLinePunct w:val="0"/>
        <w:bidi w:val="0"/>
        <w:spacing w:afterAutospacing="0" w:line="360" w:lineRule="auto"/>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数据恢复：协助系统主管工程师恢复数据； </w:t>
      </w:r>
    </w:p>
    <w:p w14:paraId="793C0DAF">
      <w:pPr>
        <w:pageBreakBefore w:val="0"/>
        <w:numPr>
          <w:ilvl w:val="0"/>
          <w:numId w:val="8"/>
        </w:numPr>
        <w:kinsoku/>
        <w:wordWrap/>
        <w:overflowPunct/>
        <w:topLinePunct w:val="0"/>
        <w:bidi w:val="0"/>
        <w:spacing w:afterAutospacing="0" w:line="360" w:lineRule="auto"/>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数据调整：协助系统维护人员进行数据调整； </w:t>
      </w:r>
    </w:p>
    <w:p w14:paraId="7FA36507">
      <w:pPr>
        <w:pageBreakBefore w:val="0"/>
        <w:numPr>
          <w:ilvl w:val="0"/>
          <w:numId w:val="8"/>
        </w:numPr>
        <w:kinsoku/>
        <w:wordWrap/>
        <w:overflowPunct/>
        <w:topLinePunct w:val="0"/>
        <w:bidi w:val="0"/>
        <w:spacing w:afterAutospacing="0" w:line="360" w:lineRule="auto"/>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数据迁移：协助进行数据库迁移，提供必要的支持和指导； </w:t>
      </w:r>
    </w:p>
    <w:p w14:paraId="033CA56B">
      <w:pPr>
        <w:pageBreakBefore w:val="0"/>
        <w:numPr>
          <w:ilvl w:val="0"/>
          <w:numId w:val="8"/>
        </w:numPr>
        <w:kinsoku/>
        <w:wordWrap/>
        <w:overflowPunct/>
        <w:topLinePunct w:val="0"/>
        <w:bidi w:val="0"/>
        <w:spacing w:afterAutospacing="0" w:line="360" w:lineRule="auto"/>
        <w:ind w:left="0" w:lef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问题解答：解答系统及数据库疑难问题。</w:t>
      </w:r>
    </w:p>
    <w:p w14:paraId="134A782C">
      <w:pPr>
        <w:keepNext w:val="0"/>
        <w:keepLines w:val="0"/>
        <w:pageBreakBefore w:val="0"/>
        <w:widowControl w:val="0"/>
        <w:numPr>
          <w:ilvl w:val="0"/>
          <w:numId w:val="8"/>
        </w:numPr>
        <w:kinsoku/>
        <w:wordWrap/>
        <w:overflowPunct/>
        <w:topLinePunct w:val="0"/>
        <w:autoSpaceDE/>
        <w:autoSpaceDN/>
        <w:bidi w:val="0"/>
        <w:adjustRightInd w:val="0"/>
        <w:snapToGrid/>
        <w:spacing w:beforeLines="-2147483648" w:afterLines="-2147483648" w:afterAutospacing="0" w:line="360" w:lineRule="auto"/>
        <w:ind w:left="0" w:right="0" w:firstLine="0" w:firstLineChars="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网络安全</w:t>
      </w:r>
      <w:r>
        <w:rPr>
          <w:rFonts w:hint="eastAsia" w:asciiTheme="minorEastAsia" w:hAnsiTheme="minorEastAsia" w:eastAsiaTheme="minorEastAsia" w:cstheme="minorEastAsia"/>
          <w:sz w:val="21"/>
          <w:szCs w:val="21"/>
          <w:lang w:val="en-US" w:eastAsia="zh-CN"/>
        </w:rPr>
        <w:t>要求：</w:t>
      </w:r>
      <w:r>
        <w:rPr>
          <w:rFonts w:hint="eastAsia" w:asciiTheme="minorEastAsia" w:hAnsiTheme="minorEastAsia" w:eastAsiaTheme="minorEastAsia" w:cstheme="minorEastAsia"/>
          <w:kern w:val="2"/>
          <w:sz w:val="21"/>
          <w:szCs w:val="21"/>
          <w:lang w:val="en-US" w:eastAsia="zh-CN" w:bidi="ar-SA"/>
        </w:rPr>
        <w:t>确保确保系统符合《中华人民共和国网络安全法》及相关法律法规要求，无条件配合甲方完成网络安全相关整改，并落实网络和数据安全能力保障要求，包括:</w:t>
      </w:r>
    </w:p>
    <w:p w14:paraId="675C9FD4">
      <w:pPr>
        <w:pStyle w:val="10"/>
        <w:keepNext w:val="0"/>
        <w:keepLines w:val="0"/>
        <w:pageBreakBefore w:val="0"/>
        <w:widowControl w:val="0"/>
        <w:numPr>
          <w:ilvl w:val="0"/>
          <w:numId w:val="9"/>
        </w:numPr>
        <w:tabs>
          <w:tab w:val="left" w:pos="0"/>
        </w:tabs>
        <w:kinsoku/>
        <w:wordWrap/>
        <w:overflowPunct/>
        <w:topLinePunct w:val="0"/>
        <w:autoSpaceDE/>
        <w:autoSpaceDN/>
        <w:bidi w:val="0"/>
        <w:adjustRightInd w:val="0"/>
        <w:snapToGrid/>
        <w:spacing w:beforeLines="0" w:afterLines="0" w:afterAutospacing="0" w:line="360" w:lineRule="auto"/>
        <w:ind w:left="0" w:leftChars="0" w:right="0" w:firstLine="400" w:firstLineChars="0"/>
        <w:textAlignment w:val="auto"/>
        <w:outlineLvl w:val="9"/>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变更后漏洞整改要求、系统升级应急保障要求；</w:t>
      </w:r>
    </w:p>
    <w:p w14:paraId="5A443B97">
      <w:pPr>
        <w:pStyle w:val="10"/>
        <w:keepNext w:val="0"/>
        <w:keepLines w:val="0"/>
        <w:pageBreakBefore w:val="0"/>
        <w:widowControl w:val="0"/>
        <w:numPr>
          <w:ilvl w:val="0"/>
          <w:numId w:val="9"/>
        </w:numPr>
        <w:tabs>
          <w:tab w:val="left" w:pos="0"/>
        </w:tabs>
        <w:kinsoku/>
        <w:wordWrap/>
        <w:overflowPunct/>
        <w:topLinePunct w:val="0"/>
        <w:autoSpaceDE/>
        <w:autoSpaceDN/>
        <w:bidi w:val="0"/>
        <w:adjustRightInd w:val="0"/>
        <w:snapToGrid/>
        <w:spacing w:beforeLines="0" w:afterLines="0" w:afterAutospacing="0" w:line="360" w:lineRule="auto"/>
        <w:ind w:left="0" w:leftChars="0" w:right="0" w:firstLine="400" w:firstLineChars="0"/>
        <w:textAlignment w:val="auto"/>
        <w:outlineLvl w:val="9"/>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禁止在互联网搭建涉及甲方测试数据或单位信息的业务系统、敏感数据保护要求；</w:t>
      </w:r>
    </w:p>
    <w:p w14:paraId="48BE675C">
      <w:pPr>
        <w:pStyle w:val="10"/>
        <w:keepNext w:val="0"/>
        <w:keepLines w:val="0"/>
        <w:pageBreakBefore w:val="0"/>
        <w:widowControl w:val="0"/>
        <w:numPr>
          <w:ilvl w:val="0"/>
          <w:numId w:val="9"/>
        </w:numPr>
        <w:tabs>
          <w:tab w:val="left" w:pos="0"/>
        </w:tabs>
        <w:kinsoku/>
        <w:wordWrap/>
        <w:overflowPunct/>
        <w:topLinePunct w:val="0"/>
        <w:autoSpaceDE/>
        <w:autoSpaceDN/>
        <w:bidi w:val="0"/>
        <w:adjustRightInd w:val="0"/>
        <w:snapToGrid/>
        <w:spacing w:beforeLines="0" w:afterLines="0" w:afterAutospacing="0" w:line="360" w:lineRule="auto"/>
        <w:ind w:left="0" w:leftChars="0" w:right="0" w:firstLine="400" w:firstLineChars="0"/>
        <w:textAlignment w:val="auto"/>
        <w:outlineLvl w:val="9"/>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版本变更时应提供相关版本无恶意代码检测报告；</w:t>
      </w:r>
    </w:p>
    <w:p w14:paraId="7435A697">
      <w:pPr>
        <w:pageBreakBefore w:val="0"/>
        <w:numPr>
          <w:ilvl w:val="0"/>
          <w:numId w:val="9"/>
        </w:numPr>
        <w:kinsoku/>
        <w:wordWrap/>
        <w:overflowPunct/>
        <w:topLinePunct w:val="0"/>
        <w:bidi w:val="0"/>
        <w:spacing w:afterAutospacing="0"/>
        <w:ind w:left="0" w:leftChars="0" w:firstLine="400" w:firstLineChars="0"/>
        <w:textAlignment w:val="auto"/>
        <w:rPr>
          <w:rFonts w:hint="eastAsia"/>
        </w:rPr>
      </w:pPr>
      <w:r>
        <w:rPr>
          <w:rFonts w:hint="eastAsia" w:asciiTheme="minorEastAsia" w:hAnsiTheme="minorEastAsia" w:eastAsiaTheme="minorEastAsia" w:cstheme="minorEastAsia"/>
          <w:b w:val="0"/>
          <w:bCs w:val="0"/>
          <w:kern w:val="2"/>
          <w:sz w:val="21"/>
          <w:szCs w:val="21"/>
          <w:lang w:val="en-US" w:eastAsia="zh-CN" w:bidi="ar-SA"/>
        </w:rPr>
        <w:t>发生运维人员变更应及时通知甲方人员变更情况以确保运维安全。</w:t>
      </w:r>
    </w:p>
    <w:p w14:paraId="11B80EE3">
      <w:pPr>
        <w:pageBreakBefore w:val="0"/>
        <w:numPr>
          <w:ilvl w:val="0"/>
          <w:numId w:val="6"/>
        </w:numPr>
        <w:kinsoku/>
        <w:wordWrap/>
        <w:overflowPunct/>
        <w:topLinePunct w:val="0"/>
        <w:bidi w:val="0"/>
        <w:spacing w:afterAutospacing="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商务要求：</w:t>
      </w:r>
    </w:p>
    <w:p w14:paraId="036CDC86">
      <w:pPr>
        <w:pageBreakBefore w:val="0"/>
        <w:numPr>
          <w:ilvl w:val="0"/>
          <w:numId w:val="10"/>
        </w:numPr>
        <w:kinsoku/>
        <w:wordWrap/>
        <w:overflowPunct/>
        <w:topLinePunct w:val="0"/>
        <w:bidi w:val="0"/>
        <w:spacing w:afterAutospacing="0"/>
        <w:ind w:left="425" w:leftChars="0" w:hanging="425"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交货期/工期/服务期（天）：</w:t>
      </w:r>
      <w:r>
        <w:rPr>
          <w:rFonts w:hint="eastAsia" w:ascii="仿宋_GB2312" w:hAnsi="仿宋_GB2312" w:eastAsia="仿宋_GB2312" w:cs="仿宋_GB2312"/>
          <w:sz w:val="28"/>
          <w:szCs w:val="28"/>
          <w:u w:val="single"/>
        </w:rPr>
        <w:t>服务期1年</w:t>
      </w:r>
      <w:r>
        <w:rPr>
          <w:rFonts w:hint="eastAsia" w:ascii="仿宋_GB2312" w:hAnsi="仿宋_GB2312" w:eastAsia="仿宋_GB2312" w:cs="仿宋_GB2312"/>
          <w:sz w:val="28"/>
          <w:szCs w:val="28"/>
          <w:u w:val="single"/>
          <w:lang w:val="en-US" w:eastAsia="zh-CN"/>
        </w:rPr>
        <w:t>,自合同签订之日起。本项目为长期服务类项目，合同一年一签，如政策、法律未有变化，合同期满前，医院可根据项目需求和中标方的履约情况决定合同期限是否延长，但累计合同期限不得超过三年。</w:t>
      </w:r>
    </w:p>
    <w:p w14:paraId="6E336D12">
      <w:pPr>
        <w:pageBreakBefore w:val="0"/>
        <w:numPr>
          <w:ilvl w:val="0"/>
          <w:numId w:val="10"/>
        </w:numPr>
        <w:kinsoku/>
        <w:wordWrap/>
        <w:overflowPunct/>
        <w:topLinePunct w:val="0"/>
        <w:bidi w:val="0"/>
        <w:spacing w:afterAutospacing="0"/>
        <w:ind w:left="425" w:leftChars="0" w:hanging="425"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w:t>
      </w:r>
      <w:r>
        <w:rPr>
          <w:rFonts w:hint="eastAsia" w:ascii="仿宋_GB2312" w:hAnsi="仿宋_GB2312" w:eastAsia="仿宋_GB2312" w:cs="仿宋_GB2312"/>
          <w:sz w:val="28"/>
          <w:szCs w:val="28"/>
          <w:u w:val="single"/>
        </w:rPr>
        <w:t xml:space="preserve"> 深圳市前海蛇口自贸区医院 。</w:t>
      </w:r>
    </w:p>
    <w:p w14:paraId="71F019B6">
      <w:pPr>
        <w:pageBreakBefore w:val="0"/>
        <w:numPr>
          <w:ilvl w:val="0"/>
          <w:numId w:val="10"/>
        </w:numPr>
        <w:kinsoku/>
        <w:wordWrap/>
        <w:overflowPunct/>
        <w:topLinePunct w:val="0"/>
        <w:bidi w:val="0"/>
        <w:spacing w:afterAutospacing="0"/>
        <w:ind w:left="425" w:leftChars="0" w:hanging="425"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付款进度和方式：</w:t>
      </w:r>
      <w:r>
        <w:rPr>
          <w:rFonts w:hint="eastAsia" w:ascii="仿宋_GB2312" w:hAnsi="仿宋_GB2312" w:eastAsia="仿宋_GB2312" w:cs="仿宋_GB2312"/>
          <w:sz w:val="28"/>
          <w:szCs w:val="28"/>
          <w:u w:val="single"/>
        </w:rPr>
        <w:t>合同签订后收到中标公司出具的正式发票后，支付合同费用的50%；服务期满，经院方确认中标方的服务符合合同要求后，支付剩余50%的合同费用。</w:t>
      </w:r>
    </w:p>
    <w:p w14:paraId="2EAEA1B0">
      <w:pPr>
        <w:pageBreakBefore w:val="0"/>
        <w:numPr>
          <w:ilvl w:val="0"/>
          <w:numId w:val="10"/>
        </w:numPr>
        <w:kinsoku/>
        <w:wordWrap/>
        <w:overflowPunct/>
        <w:topLinePunct w:val="0"/>
        <w:bidi w:val="0"/>
        <w:spacing w:afterAutospacing="0"/>
        <w:ind w:left="425" w:leftChars="0" w:hanging="425"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报价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本次投标报价为含税人民币价，投标报价包括完成所有产品供货及履行所有规定服务所产生的全部费用。</w:t>
      </w:r>
      <w:r>
        <w:rPr>
          <w:rFonts w:hint="eastAsia" w:ascii="仿宋_GB2312" w:hAnsi="仿宋_GB2312" w:eastAsia="仿宋_GB2312" w:cs="仿宋_GB2312"/>
          <w:sz w:val="28"/>
          <w:szCs w:val="28"/>
        </w:rPr>
        <w:t>。</w:t>
      </w:r>
    </w:p>
    <w:p w14:paraId="5CCC03C8">
      <w:pPr>
        <w:pageBreakBefore w:val="0"/>
        <w:kinsoku/>
        <w:wordWrap/>
        <w:overflowPunct/>
        <w:topLinePunct w:val="0"/>
        <w:bidi w:val="0"/>
        <w:spacing w:afterAutospacing="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（七）评审规则：</w:t>
      </w:r>
    </w:p>
    <w:p w14:paraId="22F0EB16">
      <w:pPr>
        <w:pageBreakBefore w:val="0"/>
        <w:kinsoku/>
        <w:wordWrap/>
        <w:overflowPunct/>
        <w:topLinePunct w:val="0"/>
        <w:bidi w:val="0"/>
        <w:adjustRightInd w:val="0"/>
        <w:snapToGrid w:val="0"/>
        <w:spacing w:afterAutospacing="0"/>
        <w:jc w:val="left"/>
        <w:textAlignment w:val="auto"/>
        <w:rPr>
          <w:rFonts w:hint="eastAsia" w:ascii="仿宋" w:hAnsi="仿宋" w:eastAsia="仿宋"/>
          <w:sz w:val="28"/>
          <w:szCs w:val="28"/>
        </w:rPr>
      </w:pPr>
      <w:r>
        <w:rPr>
          <w:rFonts w:hint="eastAsia" w:ascii="仿宋" w:hAnsi="仿宋" w:eastAsia="仿宋"/>
          <w:sz w:val="28"/>
          <w:szCs w:val="28"/>
        </w:rPr>
        <w:t>1.评标方法：</w:t>
      </w:r>
      <w:r>
        <w:rPr>
          <w:rFonts w:ascii="Segoe UI Symbol" w:hAnsi="Segoe UI Symbol" w:eastAsia="仿宋_GB2312" w:cs="Segoe UI Symbol"/>
          <w:sz w:val="28"/>
          <w:szCs w:val="28"/>
        </w:rPr>
        <w:t>☑</w:t>
      </w:r>
      <w:r>
        <w:rPr>
          <w:rFonts w:hint="eastAsia" w:ascii="仿宋" w:hAnsi="仿宋" w:eastAsia="仿宋"/>
          <w:sz w:val="28"/>
          <w:szCs w:val="28"/>
        </w:rPr>
        <w:t>综合评分法（评分细则提供附件）、□最低评标价法</w:t>
      </w:r>
    </w:p>
    <w:p w14:paraId="206CCD51">
      <w:pPr>
        <w:spacing w:after="60" w:line="360" w:lineRule="auto"/>
        <w:rPr>
          <w:rFonts w:hint="eastAsia" w:asciiTheme="minorEastAsia" w:hAnsiTheme="minorEastAsia" w:eastAsiaTheme="minorEastAsia" w:cstheme="minorEastAsia"/>
          <w:color w:val="auto"/>
          <w:sz w:val="21"/>
          <w:szCs w:val="21"/>
        </w:rPr>
      </w:pPr>
      <w:bookmarkStart w:id="0" w:name="_GoBack"/>
      <w:bookmarkEnd w:id="0"/>
    </w:p>
    <w:tbl>
      <w:tblPr>
        <w:tblStyle w:val="5"/>
        <w:tblW w:w="5317"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39"/>
        <w:gridCol w:w="707"/>
        <w:gridCol w:w="1700"/>
        <w:gridCol w:w="1138"/>
        <w:gridCol w:w="9"/>
        <w:gridCol w:w="27"/>
        <w:gridCol w:w="4642"/>
      </w:tblGrid>
      <w:tr w14:paraId="3DE8C6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63" w:type="pct"/>
            <w:tcBorders>
              <w:top w:val="single" w:color="000000" w:sz="8" w:space="0"/>
              <w:left w:val="single" w:color="000000" w:sz="8" w:space="0"/>
              <w:bottom w:val="single" w:color="000000" w:sz="8" w:space="0"/>
              <w:right w:val="single" w:color="000000" w:sz="8" w:space="0"/>
            </w:tcBorders>
            <w:shd w:val="clear" w:color="auto" w:fill="C7DAF1"/>
            <w:vAlign w:val="center"/>
          </w:tcPr>
          <w:p w14:paraId="25459753">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328" w:type="pct"/>
            <w:gridSpan w:val="2"/>
            <w:tcBorders>
              <w:top w:val="single" w:color="000000" w:sz="8" w:space="0"/>
              <w:left w:val="single" w:color="000000" w:sz="8" w:space="0"/>
              <w:bottom w:val="single" w:color="000000" w:sz="8" w:space="0"/>
              <w:right w:val="single" w:color="000000" w:sz="8" w:space="0"/>
            </w:tcBorders>
            <w:shd w:val="clear" w:color="auto" w:fill="C7DAF1"/>
            <w:vAlign w:val="center"/>
          </w:tcPr>
          <w:p w14:paraId="3A161DA2">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评分项</w:t>
            </w:r>
          </w:p>
        </w:tc>
        <w:tc>
          <w:tcPr>
            <w:tcW w:w="3208" w:type="pct"/>
            <w:gridSpan w:val="4"/>
            <w:tcBorders>
              <w:top w:val="single" w:color="000000" w:sz="8" w:space="0"/>
              <w:left w:val="single" w:color="000000" w:sz="8" w:space="0"/>
              <w:bottom w:val="single" w:color="000000" w:sz="8" w:space="0"/>
              <w:right w:val="single" w:color="000000" w:sz="8" w:space="0"/>
            </w:tcBorders>
            <w:shd w:val="clear" w:color="auto" w:fill="C7DAF1"/>
            <w:vAlign w:val="center"/>
          </w:tcPr>
          <w:p w14:paraId="70590FF4">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权重(%)</w:t>
            </w:r>
          </w:p>
        </w:tc>
      </w:tr>
      <w:tr w14:paraId="34AB02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63" w:type="pct"/>
            <w:tcBorders>
              <w:top w:val="single" w:color="000000" w:sz="8" w:space="0"/>
              <w:left w:val="single" w:color="000000" w:sz="8" w:space="0"/>
              <w:bottom w:val="single" w:color="000000" w:sz="8" w:space="0"/>
              <w:right w:val="single" w:color="000000" w:sz="8" w:space="0"/>
            </w:tcBorders>
            <w:vAlign w:val="center"/>
          </w:tcPr>
          <w:p w14:paraId="7F0B535F">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w:t>
            </w:r>
          </w:p>
        </w:tc>
        <w:tc>
          <w:tcPr>
            <w:tcW w:w="1328" w:type="pct"/>
            <w:gridSpan w:val="2"/>
            <w:tcBorders>
              <w:top w:val="single" w:color="000000" w:sz="8" w:space="0"/>
              <w:left w:val="single" w:color="000000" w:sz="8" w:space="0"/>
              <w:bottom w:val="single" w:color="000000" w:sz="8" w:space="0"/>
              <w:right w:val="single" w:color="000000" w:sz="8" w:space="0"/>
            </w:tcBorders>
            <w:vAlign w:val="center"/>
          </w:tcPr>
          <w:p w14:paraId="2175C3DF">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价格</w:t>
            </w:r>
          </w:p>
        </w:tc>
        <w:tc>
          <w:tcPr>
            <w:tcW w:w="3208" w:type="pct"/>
            <w:gridSpan w:val="4"/>
            <w:tcBorders>
              <w:top w:val="single" w:color="000000" w:sz="8" w:space="0"/>
              <w:left w:val="single" w:color="000000" w:sz="8" w:space="0"/>
              <w:bottom w:val="single" w:color="000000" w:sz="8" w:space="0"/>
              <w:right w:val="single" w:color="000000" w:sz="8" w:space="0"/>
            </w:tcBorders>
            <w:vAlign w:val="center"/>
          </w:tcPr>
          <w:p w14:paraId="5595BBF9">
            <w:pPr>
              <w:jc w:val="center"/>
              <w:rPr>
                <w:rFonts w:hint="eastAsia" w:asciiTheme="minorEastAsia" w:hAnsiTheme="minorEastAsia" w:eastAsiaTheme="minorEastAsia" w:cstheme="minorEastAsia"/>
                <w:b/>
                <w:bCs/>
                <w:sz w:val="21"/>
                <w:szCs w:val="21"/>
              </w:rPr>
            </w:pPr>
            <w:r>
              <w:rPr>
                <w:rFonts w:hint="eastAsia" w:asciiTheme="minorEastAsia" w:hAnsiTheme="minorEastAsia" w:cstheme="minorEastAsia"/>
                <w:b/>
                <w:bCs/>
                <w:sz w:val="21"/>
                <w:szCs w:val="21"/>
                <w:lang w:val="en-US" w:eastAsia="zh-CN"/>
              </w:rPr>
              <w:t>3</w:t>
            </w:r>
            <w:r>
              <w:rPr>
                <w:rFonts w:hint="eastAsia" w:asciiTheme="minorEastAsia" w:hAnsiTheme="minorEastAsia" w:eastAsiaTheme="minorEastAsia" w:cstheme="minorEastAsia"/>
                <w:b/>
                <w:bCs/>
                <w:sz w:val="21"/>
                <w:szCs w:val="21"/>
              </w:rPr>
              <w:t>0</w:t>
            </w:r>
          </w:p>
        </w:tc>
      </w:tr>
      <w:tr w14:paraId="07C07E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48" w:hRule="atLeast"/>
          <w:jc w:val="center"/>
        </w:trPr>
        <w:tc>
          <w:tcPr>
            <w:tcW w:w="463" w:type="pct"/>
            <w:tcBorders>
              <w:top w:val="single" w:color="000000" w:sz="8" w:space="0"/>
              <w:left w:val="single" w:color="000000" w:sz="8" w:space="0"/>
              <w:bottom w:val="single" w:color="000000" w:sz="8" w:space="0"/>
              <w:right w:val="single" w:color="000000" w:sz="8" w:space="0"/>
            </w:tcBorders>
            <w:vAlign w:val="center"/>
          </w:tcPr>
          <w:p w14:paraId="61BD14D2">
            <w:pPr>
              <w:jc w:val="center"/>
              <w:rPr>
                <w:rFonts w:hint="eastAsia" w:asciiTheme="minorEastAsia" w:hAnsiTheme="minorEastAsia" w:eastAsiaTheme="minorEastAsia" w:cstheme="minorEastAsia"/>
                <w:b/>
                <w:bCs/>
                <w:sz w:val="21"/>
                <w:szCs w:val="21"/>
              </w:rPr>
            </w:pPr>
          </w:p>
        </w:tc>
        <w:tc>
          <w:tcPr>
            <w:tcW w:w="4536" w:type="pct"/>
            <w:gridSpan w:val="6"/>
            <w:tcBorders>
              <w:top w:val="single" w:color="000000" w:sz="8" w:space="0"/>
              <w:left w:val="single" w:color="000000" w:sz="8" w:space="0"/>
              <w:bottom w:val="single" w:color="000000" w:sz="8" w:space="0"/>
              <w:right w:val="single" w:color="000000" w:sz="8" w:space="0"/>
            </w:tcBorders>
            <w:vAlign w:val="center"/>
          </w:tcPr>
          <w:p w14:paraId="19C860A8">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价格分统一采用低价优先法，即满足招标文件要求且投标价格最低的投标报价为评标基准价，其价格分为满分30分。其他投标人的价格分统一按照下列公式计算：</w:t>
            </w:r>
          </w:p>
          <w:p w14:paraId="6E9CA4B9">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投标报价得分＝（评标基准价/投标报价）×30％×100。</w:t>
            </w:r>
          </w:p>
        </w:tc>
      </w:tr>
      <w:tr w14:paraId="2A33BB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63" w:type="pct"/>
            <w:tcBorders>
              <w:top w:val="single" w:color="000000" w:sz="8" w:space="0"/>
              <w:left w:val="single" w:color="000000" w:sz="8" w:space="0"/>
              <w:bottom w:val="single" w:color="000000" w:sz="8" w:space="0"/>
              <w:right w:val="single" w:color="000000" w:sz="8" w:space="0"/>
            </w:tcBorders>
            <w:shd w:val="clear" w:color="auto" w:fill="C7DAF1"/>
            <w:vAlign w:val="center"/>
          </w:tcPr>
          <w:p w14:paraId="67BA6F8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2</w:t>
            </w:r>
          </w:p>
        </w:tc>
        <w:tc>
          <w:tcPr>
            <w:tcW w:w="1328" w:type="pct"/>
            <w:gridSpan w:val="2"/>
            <w:tcBorders>
              <w:top w:val="single" w:color="000000" w:sz="8" w:space="0"/>
              <w:left w:val="single" w:color="000000" w:sz="8" w:space="0"/>
              <w:bottom w:val="single" w:color="000000" w:sz="8" w:space="0"/>
              <w:right w:val="single" w:color="000000" w:sz="8" w:space="0"/>
            </w:tcBorders>
            <w:shd w:val="clear" w:color="auto" w:fill="C7DAF1"/>
            <w:vAlign w:val="center"/>
          </w:tcPr>
          <w:p w14:paraId="559E3F2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技术部分</w:t>
            </w:r>
          </w:p>
        </w:tc>
        <w:tc>
          <w:tcPr>
            <w:tcW w:w="3208" w:type="pct"/>
            <w:gridSpan w:val="4"/>
            <w:tcBorders>
              <w:top w:val="single" w:color="000000" w:sz="8" w:space="0"/>
              <w:left w:val="single" w:color="000000" w:sz="8" w:space="0"/>
              <w:bottom w:val="single" w:color="000000" w:sz="8" w:space="0"/>
              <w:right w:val="single" w:color="000000" w:sz="8" w:space="0"/>
            </w:tcBorders>
            <w:shd w:val="clear" w:color="auto" w:fill="C7DAF1"/>
            <w:vAlign w:val="center"/>
          </w:tcPr>
          <w:p w14:paraId="7F1786C3">
            <w:pPr>
              <w:jc w:val="center"/>
              <w:rPr>
                <w:rFonts w:hint="eastAsia" w:eastAsia="宋体" w:asciiTheme="minorEastAsia" w:hAnsiTheme="minorEastAsia" w:cstheme="minorEastAsia"/>
                <w:sz w:val="21"/>
                <w:szCs w:val="21"/>
                <w:lang w:eastAsia="zh-CN"/>
              </w:rPr>
            </w:pPr>
            <w:r>
              <w:rPr>
                <w:rFonts w:hint="eastAsia" w:asciiTheme="minorEastAsia" w:hAnsiTheme="minorEastAsia" w:cstheme="minorEastAsia"/>
                <w:b/>
                <w:bCs/>
                <w:sz w:val="21"/>
                <w:szCs w:val="21"/>
                <w:lang w:val="en-US" w:eastAsia="zh-CN"/>
              </w:rPr>
              <w:t>4</w:t>
            </w:r>
            <w:r>
              <w:rPr>
                <w:rFonts w:hint="eastAsia" w:asciiTheme="minorEastAsia" w:hAnsiTheme="minorEastAsia" w:eastAsiaTheme="minorEastAsia" w:cstheme="minorEastAsia"/>
                <w:b/>
                <w:bCs/>
                <w:sz w:val="21"/>
                <w:szCs w:val="21"/>
                <w:lang w:val="en-US" w:eastAsia="zh-CN"/>
              </w:rPr>
              <w:t>5</w:t>
            </w:r>
          </w:p>
        </w:tc>
      </w:tr>
      <w:tr w14:paraId="31923F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2" w:hRule="atLeast"/>
          <w:jc w:val="center"/>
        </w:trPr>
        <w:tc>
          <w:tcPr>
            <w:tcW w:w="463" w:type="pct"/>
            <w:tcBorders>
              <w:top w:val="single" w:color="000000" w:sz="8" w:space="0"/>
              <w:left w:val="single" w:color="000000" w:sz="8" w:space="0"/>
              <w:bottom w:val="single" w:color="000000" w:sz="8" w:space="0"/>
              <w:right w:val="single" w:color="000000" w:sz="8" w:space="0"/>
            </w:tcBorders>
            <w:vAlign w:val="center"/>
          </w:tcPr>
          <w:p w14:paraId="384868F4">
            <w:pPr>
              <w:jc w:val="center"/>
              <w:rPr>
                <w:rFonts w:hint="eastAsia" w:asciiTheme="minorEastAsia" w:hAnsiTheme="minorEastAsia" w:eastAsiaTheme="minorEastAsia" w:cstheme="minorEastAsia"/>
                <w:b/>
                <w:bCs/>
                <w:sz w:val="21"/>
                <w:szCs w:val="21"/>
              </w:rPr>
            </w:pPr>
          </w:p>
        </w:tc>
        <w:tc>
          <w:tcPr>
            <w:tcW w:w="390" w:type="pct"/>
            <w:tcBorders>
              <w:top w:val="single" w:color="000000" w:sz="8" w:space="0"/>
              <w:left w:val="single" w:color="000000" w:sz="8" w:space="0"/>
              <w:bottom w:val="single" w:color="000000" w:sz="8" w:space="0"/>
              <w:right w:val="single" w:color="000000" w:sz="8" w:space="0"/>
            </w:tcBorders>
            <w:vAlign w:val="center"/>
          </w:tcPr>
          <w:p w14:paraId="2943BE7B">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序号</w:t>
            </w:r>
          </w:p>
        </w:tc>
        <w:tc>
          <w:tcPr>
            <w:tcW w:w="938" w:type="pct"/>
            <w:tcBorders>
              <w:top w:val="single" w:color="000000" w:sz="8" w:space="0"/>
              <w:left w:val="single" w:color="000000" w:sz="8" w:space="0"/>
              <w:bottom w:val="single" w:color="000000" w:sz="8" w:space="0"/>
              <w:right w:val="single" w:color="000000" w:sz="8" w:space="0"/>
            </w:tcBorders>
            <w:vAlign w:val="center"/>
          </w:tcPr>
          <w:p w14:paraId="7CD4D5B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评分因素</w:t>
            </w:r>
          </w:p>
        </w:tc>
        <w:tc>
          <w:tcPr>
            <w:tcW w:w="628" w:type="pct"/>
            <w:tcBorders>
              <w:top w:val="single" w:color="000000" w:sz="8" w:space="0"/>
              <w:left w:val="single" w:color="000000" w:sz="8" w:space="0"/>
              <w:bottom w:val="single" w:color="000000" w:sz="8" w:space="0"/>
              <w:right w:val="single" w:color="000000" w:sz="8" w:space="0"/>
            </w:tcBorders>
            <w:vAlign w:val="center"/>
          </w:tcPr>
          <w:p w14:paraId="698B5F8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权重(%)</w:t>
            </w:r>
          </w:p>
        </w:tc>
        <w:tc>
          <w:tcPr>
            <w:tcW w:w="2579" w:type="pct"/>
            <w:gridSpan w:val="3"/>
            <w:tcBorders>
              <w:top w:val="single" w:color="000000" w:sz="8" w:space="0"/>
              <w:left w:val="single" w:color="000000" w:sz="8" w:space="0"/>
              <w:bottom w:val="single" w:color="000000" w:sz="8" w:space="0"/>
              <w:right w:val="single" w:color="000000" w:sz="8" w:space="0"/>
            </w:tcBorders>
            <w:vAlign w:val="center"/>
          </w:tcPr>
          <w:p w14:paraId="2F72BBC1">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评分准则</w:t>
            </w:r>
          </w:p>
        </w:tc>
      </w:tr>
      <w:tr w14:paraId="2862B3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463" w:type="pct"/>
            <w:tcBorders>
              <w:top w:val="single" w:color="000000" w:sz="8" w:space="0"/>
              <w:left w:val="single" w:color="000000" w:sz="8" w:space="0"/>
              <w:bottom w:val="single" w:color="000000" w:sz="8" w:space="0"/>
              <w:right w:val="single" w:color="000000" w:sz="8" w:space="0"/>
            </w:tcBorders>
            <w:vAlign w:val="center"/>
          </w:tcPr>
          <w:p w14:paraId="485C52F3">
            <w:pPr>
              <w:jc w:val="center"/>
              <w:rPr>
                <w:rFonts w:hint="eastAsia" w:asciiTheme="minorEastAsia" w:hAnsiTheme="minorEastAsia" w:eastAsiaTheme="minorEastAsia" w:cstheme="minorEastAsia"/>
                <w:b/>
                <w:bCs/>
                <w:sz w:val="21"/>
                <w:szCs w:val="21"/>
              </w:rPr>
            </w:pPr>
          </w:p>
        </w:tc>
        <w:tc>
          <w:tcPr>
            <w:tcW w:w="390" w:type="pct"/>
            <w:tcBorders>
              <w:top w:val="single" w:color="000000" w:sz="8" w:space="0"/>
              <w:left w:val="single" w:color="000000" w:sz="8" w:space="0"/>
              <w:bottom w:val="single" w:color="000000" w:sz="8" w:space="0"/>
              <w:right w:val="single" w:color="000000" w:sz="8" w:space="0"/>
            </w:tcBorders>
            <w:vAlign w:val="center"/>
          </w:tcPr>
          <w:p w14:paraId="022E201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938" w:type="pct"/>
            <w:tcBorders>
              <w:top w:val="single" w:color="000000" w:sz="8" w:space="0"/>
              <w:left w:val="single" w:color="000000" w:sz="8" w:space="0"/>
              <w:bottom w:val="single" w:color="000000" w:sz="8" w:space="0"/>
              <w:right w:val="single" w:color="000000" w:sz="8" w:space="0"/>
            </w:tcBorders>
            <w:vAlign w:val="center"/>
          </w:tcPr>
          <w:p w14:paraId="5F238EC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服务</w:t>
            </w:r>
            <w:r>
              <w:rPr>
                <w:rFonts w:hint="eastAsia" w:asciiTheme="minorEastAsia" w:hAnsiTheme="minorEastAsia" w:eastAsiaTheme="minorEastAsia" w:cstheme="minorEastAsia"/>
                <w:sz w:val="21"/>
                <w:szCs w:val="21"/>
              </w:rPr>
              <w:t>要求偏离情况</w:t>
            </w:r>
          </w:p>
        </w:tc>
        <w:tc>
          <w:tcPr>
            <w:tcW w:w="628" w:type="pct"/>
            <w:tcBorders>
              <w:top w:val="single" w:color="000000" w:sz="8" w:space="0"/>
              <w:left w:val="single" w:color="000000" w:sz="8" w:space="0"/>
              <w:bottom w:val="single" w:color="000000" w:sz="8" w:space="0"/>
              <w:right w:val="single" w:color="000000" w:sz="8" w:space="0"/>
            </w:tcBorders>
            <w:vAlign w:val="center"/>
          </w:tcPr>
          <w:p w14:paraId="2DA363B9">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25</w:t>
            </w:r>
          </w:p>
        </w:tc>
        <w:tc>
          <w:tcPr>
            <w:tcW w:w="2579" w:type="pct"/>
            <w:gridSpan w:val="3"/>
            <w:tcBorders>
              <w:top w:val="single" w:color="000000" w:sz="8" w:space="0"/>
              <w:left w:val="single" w:color="000000" w:sz="8" w:space="0"/>
              <w:bottom w:val="single" w:color="000000" w:sz="8" w:space="0"/>
              <w:right w:val="single" w:color="000000" w:sz="8" w:space="0"/>
            </w:tcBorders>
            <w:vAlign w:val="center"/>
          </w:tcPr>
          <w:p w14:paraId="01BD0146">
            <w:pPr>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评审内容：</w:t>
            </w:r>
          </w:p>
          <w:p w14:paraId="2B7E2EF5">
            <w:pPr>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1.根据投标人为本项目提供的《</w:t>
            </w:r>
            <w:r>
              <w:rPr>
                <w:rFonts w:hint="eastAsia" w:asciiTheme="minorEastAsia" w:hAnsiTheme="minorEastAsia" w:eastAsiaTheme="minorEastAsia" w:cstheme="minorEastAsia"/>
                <w:sz w:val="21"/>
                <w:szCs w:val="21"/>
                <w:lang w:val="en-US" w:eastAsia="zh-CN"/>
              </w:rPr>
              <w:t>服务</w:t>
            </w:r>
            <w:r>
              <w:rPr>
                <w:rFonts w:hint="eastAsia" w:asciiTheme="minorEastAsia" w:hAnsiTheme="minorEastAsia" w:eastAsiaTheme="minorEastAsia" w:cstheme="minorEastAsia"/>
                <w:sz w:val="21"/>
                <w:szCs w:val="21"/>
              </w:rPr>
              <w:t>要求偏离表》中</w:t>
            </w:r>
            <w:r>
              <w:rPr>
                <w:rFonts w:hint="eastAsia" w:asciiTheme="minorEastAsia" w:hAnsiTheme="minorEastAsia" w:eastAsiaTheme="minorEastAsia" w:cstheme="minorEastAsia"/>
                <w:sz w:val="21"/>
                <w:szCs w:val="21"/>
                <w:lang w:val="en-US" w:eastAsia="zh-CN"/>
              </w:rPr>
              <w:t>15项要求</w:t>
            </w:r>
            <w:r>
              <w:rPr>
                <w:rFonts w:hint="eastAsia" w:asciiTheme="minorEastAsia" w:hAnsiTheme="minorEastAsia" w:eastAsiaTheme="minorEastAsia" w:cstheme="minorEastAsia"/>
                <w:sz w:val="21"/>
                <w:szCs w:val="21"/>
              </w:rPr>
              <w:t>响应情况进行打分，</w:t>
            </w:r>
            <w:r>
              <w:rPr>
                <w:rFonts w:hint="eastAsia" w:asciiTheme="minorEastAsia" w:hAnsiTheme="minorEastAsia" w:eastAsiaTheme="minorEastAsia" w:cstheme="minorEastAsia"/>
                <w:sz w:val="21"/>
                <w:szCs w:val="21"/>
                <w:lang w:val="en-US" w:eastAsia="zh-CN"/>
              </w:rPr>
              <w:t>普通参数</w:t>
            </w:r>
            <w:r>
              <w:rPr>
                <w:rFonts w:hint="eastAsia" w:asciiTheme="minorEastAsia" w:hAnsiTheme="minorEastAsia" w:eastAsiaTheme="minorEastAsia" w:cstheme="minorEastAsia"/>
                <w:sz w:val="21"/>
                <w:szCs w:val="21"/>
              </w:rPr>
              <w:t>各项要求全部满足的得2</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分；每负偏离一项，扣</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分；“▲”为</w:t>
            </w:r>
            <w:r>
              <w:rPr>
                <w:rFonts w:hint="eastAsia" w:asciiTheme="minorEastAsia" w:hAnsiTheme="minorEastAsia" w:eastAsiaTheme="minorEastAsia" w:cstheme="minorEastAsia"/>
                <w:sz w:val="21"/>
                <w:szCs w:val="21"/>
                <w:lang w:val="en-US" w:eastAsia="zh-CN"/>
              </w:rPr>
              <w:t>重要参数</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重要参数</w:t>
            </w:r>
            <w:r>
              <w:rPr>
                <w:rFonts w:hint="eastAsia" w:asciiTheme="minorEastAsia" w:hAnsiTheme="minorEastAsia" w:eastAsiaTheme="minorEastAsia" w:cstheme="minorEastAsia"/>
                <w:sz w:val="21"/>
                <w:szCs w:val="21"/>
              </w:rPr>
              <w:t>负偏离1项扣</w:t>
            </w:r>
            <w:r>
              <w:rPr>
                <w:rFonts w:hint="eastAsia" w:asciiTheme="minorEastAsia" w:hAnsiTheme="minorEastAsia" w:eastAsiaTheme="minorEastAsia" w:cstheme="minorEastAsia"/>
                <w:sz w:val="21"/>
                <w:szCs w:val="21"/>
                <w:lang w:val="en-US" w:eastAsia="zh-CN"/>
              </w:rPr>
              <w:t>3.5</w:t>
            </w:r>
            <w:r>
              <w:rPr>
                <w:rFonts w:hint="eastAsia" w:asciiTheme="minorEastAsia" w:hAnsiTheme="minorEastAsia" w:eastAsiaTheme="minorEastAsia" w:cstheme="minorEastAsia"/>
                <w:sz w:val="21"/>
                <w:szCs w:val="21"/>
              </w:rPr>
              <w:t>分；扣完为止。</w:t>
            </w:r>
          </w:p>
        </w:tc>
      </w:tr>
      <w:tr w14:paraId="184290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63" w:type="pct"/>
            <w:tcBorders>
              <w:top w:val="single" w:color="000000" w:sz="8" w:space="0"/>
              <w:left w:val="single" w:color="000000" w:sz="8" w:space="0"/>
              <w:bottom w:val="single" w:color="000000" w:sz="8" w:space="0"/>
              <w:right w:val="single" w:color="000000" w:sz="8" w:space="0"/>
            </w:tcBorders>
            <w:vAlign w:val="center"/>
          </w:tcPr>
          <w:p w14:paraId="2454849E">
            <w:pPr>
              <w:jc w:val="center"/>
              <w:rPr>
                <w:rFonts w:hint="eastAsia" w:asciiTheme="minorEastAsia" w:hAnsiTheme="minorEastAsia" w:eastAsiaTheme="minorEastAsia" w:cstheme="minorEastAsia"/>
                <w:b/>
                <w:bCs/>
                <w:sz w:val="21"/>
                <w:szCs w:val="21"/>
              </w:rPr>
            </w:pPr>
          </w:p>
        </w:tc>
        <w:tc>
          <w:tcPr>
            <w:tcW w:w="390" w:type="pct"/>
            <w:tcBorders>
              <w:top w:val="single" w:color="000000" w:sz="8" w:space="0"/>
              <w:left w:val="single" w:color="000000" w:sz="8" w:space="0"/>
              <w:bottom w:val="single" w:color="000000" w:sz="8" w:space="0"/>
              <w:right w:val="single" w:color="000000" w:sz="8" w:space="0"/>
            </w:tcBorders>
            <w:vAlign w:val="center"/>
          </w:tcPr>
          <w:p w14:paraId="20E9EA1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938" w:type="pct"/>
            <w:tcBorders>
              <w:top w:val="single" w:color="000000" w:sz="8" w:space="0"/>
              <w:left w:val="single" w:color="000000" w:sz="8" w:space="0"/>
              <w:bottom w:val="single" w:color="000000" w:sz="8" w:space="0"/>
              <w:right w:val="single" w:color="000000" w:sz="8" w:space="0"/>
            </w:tcBorders>
            <w:vAlign w:val="center"/>
          </w:tcPr>
          <w:p w14:paraId="3B3B770C">
            <w:pPr>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运维服务</w:t>
            </w:r>
            <w:r>
              <w:rPr>
                <w:rFonts w:hint="eastAsia" w:asciiTheme="minorEastAsia" w:hAnsiTheme="minorEastAsia" w:eastAsiaTheme="minorEastAsia" w:cstheme="minorEastAsia"/>
                <w:sz w:val="21"/>
                <w:szCs w:val="21"/>
              </w:rPr>
              <w:t>方案</w:t>
            </w:r>
            <w:r>
              <w:rPr>
                <w:rFonts w:hint="eastAsia" w:asciiTheme="minorEastAsia" w:hAnsiTheme="minorEastAsia" w:cstheme="minorEastAsia"/>
                <w:sz w:val="21"/>
                <w:szCs w:val="21"/>
                <w:lang w:val="en-US" w:eastAsia="zh-CN"/>
              </w:rPr>
              <w:t>及</w:t>
            </w:r>
            <w:r>
              <w:rPr>
                <w:rFonts w:hint="eastAsia" w:asciiTheme="minorEastAsia" w:hAnsiTheme="minorEastAsia" w:eastAsiaTheme="minorEastAsia" w:cstheme="minorEastAsia"/>
                <w:sz w:val="21"/>
                <w:szCs w:val="21"/>
              </w:rPr>
              <w:t>质量保障措施</w:t>
            </w:r>
          </w:p>
        </w:tc>
        <w:tc>
          <w:tcPr>
            <w:tcW w:w="628" w:type="pct"/>
            <w:tcBorders>
              <w:top w:val="single" w:color="000000" w:sz="8" w:space="0"/>
              <w:left w:val="single" w:color="000000" w:sz="8" w:space="0"/>
              <w:bottom w:val="single" w:color="000000" w:sz="8" w:space="0"/>
              <w:right w:val="single" w:color="000000" w:sz="8" w:space="0"/>
            </w:tcBorders>
            <w:vAlign w:val="center"/>
          </w:tcPr>
          <w:p w14:paraId="60D94091">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w:t>
            </w:r>
          </w:p>
        </w:tc>
        <w:tc>
          <w:tcPr>
            <w:tcW w:w="2579" w:type="pct"/>
            <w:gridSpan w:val="3"/>
            <w:tcBorders>
              <w:top w:val="single" w:color="000000" w:sz="8" w:space="0"/>
              <w:left w:val="single" w:color="000000" w:sz="8" w:space="0"/>
              <w:bottom w:val="single" w:color="000000" w:sz="8" w:space="0"/>
              <w:right w:val="single" w:color="000000" w:sz="8" w:space="0"/>
            </w:tcBorders>
          </w:tcPr>
          <w:p w14:paraId="641B57A6">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（一）评审内容：</w:t>
            </w:r>
          </w:p>
          <w:p w14:paraId="50F307CA">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投标人需根据项目情况，提供</w:t>
            </w:r>
            <w:r>
              <w:rPr>
                <w:rFonts w:hint="eastAsia" w:asciiTheme="minorEastAsia" w:hAnsiTheme="minorEastAsia" w:cstheme="minorEastAsia"/>
                <w:sz w:val="21"/>
                <w:szCs w:val="21"/>
                <w:lang w:val="en-US" w:eastAsia="zh-CN"/>
              </w:rPr>
              <w:t>维保服务</w:t>
            </w:r>
            <w:r>
              <w:rPr>
                <w:rFonts w:hint="eastAsia" w:asciiTheme="minorEastAsia" w:hAnsiTheme="minorEastAsia" w:eastAsiaTheme="minorEastAsia" w:cstheme="minorEastAsia"/>
                <w:sz w:val="21"/>
                <w:szCs w:val="21"/>
              </w:rPr>
              <w:t>方案</w:t>
            </w:r>
            <w:r>
              <w:rPr>
                <w:rFonts w:hint="eastAsia" w:asciiTheme="minorEastAsia" w:hAnsiTheme="minorEastAsia" w:cstheme="minorEastAsia"/>
                <w:sz w:val="21"/>
                <w:szCs w:val="21"/>
                <w:lang w:val="en-US" w:eastAsia="zh-CN"/>
              </w:rPr>
              <w:t>及</w:t>
            </w:r>
            <w:r>
              <w:rPr>
                <w:rFonts w:hint="eastAsia" w:asciiTheme="minorEastAsia" w:hAnsiTheme="minorEastAsia" w:eastAsiaTheme="minorEastAsia" w:cstheme="minorEastAsia"/>
                <w:sz w:val="21"/>
                <w:szCs w:val="21"/>
              </w:rPr>
              <w:t>质量保障措施，评审内容包括但不限于：</w:t>
            </w:r>
          </w:p>
          <w:p w14:paraId="0BB40DAD">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1.服务人员安排；</w:t>
            </w:r>
          </w:p>
          <w:p w14:paraId="097A06B9">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2.项目</w:t>
            </w:r>
            <w:r>
              <w:rPr>
                <w:rFonts w:hint="eastAsia" w:asciiTheme="minorEastAsia" w:hAnsiTheme="minorEastAsia" w:cstheme="minorEastAsia"/>
                <w:sz w:val="21"/>
                <w:szCs w:val="21"/>
                <w:lang w:val="en-US" w:eastAsia="zh-CN"/>
              </w:rPr>
              <w:t>维保</w:t>
            </w:r>
            <w:r>
              <w:rPr>
                <w:rFonts w:hint="eastAsia" w:asciiTheme="minorEastAsia" w:hAnsiTheme="minorEastAsia" w:eastAsiaTheme="minorEastAsia" w:cstheme="minorEastAsia"/>
                <w:sz w:val="21"/>
                <w:szCs w:val="21"/>
              </w:rPr>
              <w:t>服务方案；</w:t>
            </w:r>
          </w:p>
          <w:p w14:paraId="6BA85A7D">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3.项目维护服务质量控制方案。</w:t>
            </w:r>
          </w:p>
          <w:p w14:paraId="3662B283">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（二）评分依据：</w:t>
            </w:r>
          </w:p>
          <w:p w14:paraId="68C68A44">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1、上述每提供一项得</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分，最高得</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分。</w:t>
            </w:r>
          </w:p>
          <w:p w14:paraId="41FA40E0">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2、在此基础上，专家根据各供应商的具体响应内容按照量化的评审因素指标进一步评审:</w:t>
            </w:r>
          </w:p>
          <w:p w14:paraId="7E2F837F">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（1）方案及质量保障措施描述详尽合理，具有很强的可操作性，能优于项目需要，方案熟悉采购方信息化建设整体需求情况，得</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分。</w:t>
            </w:r>
          </w:p>
          <w:p w14:paraId="6900171A">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（2）方案及质量保障措施较详细清晰，较全面、较系统、较科学，有一定的可行性，工作内容、工作方法或措施基本能满足采购方的项目需求，得</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分。</w:t>
            </w:r>
          </w:p>
          <w:p w14:paraId="0C6AC2CD">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（3）方案及质量保障措施不够详细清晰，不够全面、不够系统、不够科学，可行性基本满足要求，工作内容、工作方法或措施不够满足采购方的项目需求，得</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分。</w:t>
            </w:r>
          </w:p>
          <w:p w14:paraId="62179109">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（4）未提供服务方案或者提供的服务方案与本项目无关的，不得分。</w:t>
            </w:r>
          </w:p>
        </w:tc>
      </w:tr>
      <w:tr w14:paraId="4EDE37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63" w:type="pct"/>
            <w:tcBorders>
              <w:top w:val="single" w:color="000000" w:sz="8" w:space="0"/>
              <w:left w:val="single" w:color="000000" w:sz="8" w:space="0"/>
              <w:bottom w:val="single" w:color="000000" w:sz="8" w:space="0"/>
              <w:right w:val="single" w:color="000000" w:sz="8" w:space="0"/>
            </w:tcBorders>
            <w:shd w:val="clear" w:color="auto" w:fill="C7DAF1"/>
            <w:vAlign w:val="center"/>
          </w:tcPr>
          <w:p w14:paraId="5FA11B24">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w:t>
            </w:r>
          </w:p>
        </w:tc>
        <w:tc>
          <w:tcPr>
            <w:tcW w:w="1328" w:type="pct"/>
            <w:gridSpan w:val="2"/>
            <w:tcBorders>
              <w:top w:val="single" w:color="000000" w:sz="8" w:space="0"/>
              <w:left w:val="single" w:color="000000" w:sz="8" w:space="0"/>
              <w:bottom w:val="single" w:color="000000" w:sz="8" w:space="0"/>
              <w:right w:val="single" w:color="000000" w:sz="8" w:space="0"/>
            </w:tcBorders>
            <w:shd w:val="clear" w:color="auto" w:fill="C7DAF1"/>
            <w:vAlign w:val="center"/>
          </w:tcPr>
          <w:p w14:paraId="12E38EBC">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综合实力部分</w:t>
            </w:r>
          </w:p>
        </w:tc>
        <w:tc>
          <w:tcPr>
            <w:tcW w:w="3208" w:type="pct"/>
            <w:gridSpan w:val="4"/>
            <w:tcBorders>
              <w:top w:val="single" w:color="000000" w:sz="8" w:space="0"/>
              <w:left w:val="single" w:color="000000" w:sz="8" w:space="0"/>
              <w:bottom w:val="single" w:color="000000" w:sz="8" w:space="0"/>
              <w:right w:val="single" w:color="000000" w:sz="8" w:space="0"/>
            </w:tcBorders>
            <w:shd w:val="clear" w:color="auto" w:fill="C7DAF1"/>
            <w:vAlign w:val="center"/>
          </w:tcPr>
          <w:p w14:paraId="7EF383BE">
            <w:pPr>
              <w:jc w:val="cente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val="en-US" w:eastAsia="zh-CN"/>
              </w:rPr>
              <w:t>20</w:t>
            </w:r>
          </w:p>
        </w:tc>
      </w:tr>
      <w:tr w14:paraId="770914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87" w:hRule="atLeast"/>
          <w:jc w:val="center"/>
        </w:trPr>
        <w:tc>
          <w:tcPr>
            <w:tcW w:w="463" w:type="pct"/>
            <w:tcBorders>
              <w:top w:val="single" w:color="000000" w:sz="8" w:space="0"/>
              <w:left w:val="single" w:color="000000" w:sz="8" w:space="0"/>
              <w:bottom w:val="single" w:color="000000" w:sz="8" w:space="0"/>
              <w:right w:val="single" w:color="000000" w:sz="8" w:space="0"/>
            </w:tcBorders>
            <w:vAlign w:val="center"/>
          </w:tcPr>
          <w:p w14:paraId="4A1C6D9E">
            <w:pPr>
              <w:jc w:val="center"/>
              <w:rPr>
                <w:rFonts w:hint="eastAsia" w:asciiTheme="minorEastAsia" w:hAnsiTheme="minorEastAsia" w:eastAsiaTheme="minorEastAsia" w:cstheme="minorEastAsia"/>
                <w:b/>
                <w:bCs/>
                <w:sz w:val="21"/>
                <w:szCs w:val="21"/>
              </w:rPr>
            </w:pPr>
          </w:p>
        </w:tc>
        <w:tc>
          <w:tcPr>
            <w:tcW w:w="390" w:type="pct"/>
            <w:tcBorders>
              <w:top w:val="single" w:color="000000" w:sz="8" w:space="0"/>
              <w:left w:val="single" w:color="000000" w:sz="8" w:space="0"/>
              <w:bottom w:val="single" w:color="000000" w:sz="8" w:space="0"/>
              <w:right w:val="single" w:color="000000" w:sz="8" w:space="0"/>
            </w:tcBorders>
            <w:vAlign w:val="center"/>
          </w:tcPr>
          <w:p w14:paraId="5113BD9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938" w:type="pct"/>
            <w:tcBorders>
              <w:top w:val="single" w:color="000000" w:sz="8" w:space="0"/>
              <w:left w:val="single" w:color="000000" w:sz="8" w:space="0"/>
              <w:bottom w:val="single" w:color="000000" w:sz="8" w:space="0"/>
              <w:right w:val="single" w:color="000000" w:sz="8" w:space="0"/>
            </w:tcBorders>
            <w:vAlign w:val="center"/>
          </w:tcPr>
          <w:p w14:paraId="709038F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评分因素</w:t>
            </w:r>
          </w:p>
        </w:tc>
        <w:tc>
          <w:tcPr>
            <w:tcW w:w="633" w:type="pct"/>
            <w:gridSpan w:val="2"/>
            <w:tcBorders>
              <w:top w:val="single" w:color="000000" w:sz="8" w:space="0"/>
              <w:left w:val="single" w:color="000000" w:sz="8" w:space="0"/>
              <w:bottom w:val="single" w:color="000000" w:sz="8" w:space="0"/>
              <w:right w:val="single" w:color="000000" w:sz="8" w:space="0"/>
            </w:tcBorders>
            <w:vAlign w:val="center"/>
          </w:tcPr>
          <w:p w14:paraId="138A015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权重(%)</w:t>
            </w:r>
          </w:p>
        </w:tc>
        <w:tc>
          <w:tcPr>
            <w:tcW w:w="2574" w:type="pct"/>
            <w:gridSpan w:val="2"/>
            <w:tcBorders>
              <w:top w:val="single" w:color="000000" w:sz="8" w:space="0"/>
              <w:left w:val="single" w:color="000000" w:sz="8" w:space="0"/>
              <w:bottom w:val="single" w:color="000000" w:sz="8" w:space="0"/>
              <w:right w:val="single" w:color="000000" w:sz="8" w:space="0"/>
            </w:tcBorders>
            <w:vAlign w:val="center"/>
          </w:tcPr>
          <w:p w14:paraId="00CE73B7">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评分准则</w:t>
            </w:r>
          </w:p>
        </w:tc>
      </w:tr>
      <w:tr w14:paraId="332EC5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63" w:type="pct"/>
            <w:tcBorders>
              <w:top w:val="single" w:color="000000" w:sz="8" w:space="0"/>
              <w:left w:val="single" w:color="000000" w:sz="8" w:space="0"/>
              <w:bottom w:val="single" w:color="000000" w:sz="8" w:space="0"/>
              <w:right w:val="single" w:color="000000" w:sz="8" w:space="0"/>
            </w:tcBorders>
            <w:vAlign w:val="center"/>
          </w:tcPr>
          <w:p w14:paraId="24540805">
            <w:pPr>
              <w:jc w:val="center"/>
              <w:rPr>
                <w:rFonts w:hint="eastAsia" w:asciiTheme="minorEastAsia" w:hAnsiTheme="minorEastAsia" w:eastAsiaTheme="minorEastAsia" w:cstheme="minorEastAsia"/>
                <w:b/>
                <w:bCs/>
                <w:sz w:val="21"/>
                <w:szCs w:val="21"/>
              </w:rPr>
            </w:pPr>
          </w:p>
        </w:tc>
        <w:tc>
          <w:tcPr>
            <w:tcW w:w="390" w:type="pct"/>
            <w:tcBorders>
              <w:top w:val="outset" w:color="000000" w:sz="6" w:space="0"/>
              <w:left w:val="outset" w:color="000000" w:sz="6" w:space="0"/>
              <w:bottom w:val="outset" w:color="000000" w:sz="6" w:space="0"/>
              <w:right w:val="outset" w:color="000000" w:sz="6" w:space="0"/>
            </w:tcBorders>
            <w:vAlign w:val="center"/>
          </w:tcPr>
          <w:p w14:paraId="536AC42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938" w:type="pct"/>
            <w:tcBorders>
              <w:top w:val="outset" w:color="000000" w:sz="6" w:space="0"/>
              <w:left w:val="outset" w:color="000000" w:sz="6" w:space="0"/>
              <w:bottom w:val="outset" w:color="000000" w:sz="6" w:space="0"/>
              <w:right w:val="outset" w:color="000000" w:sz="6" w:space="0"/>
            </w:tcBorders>
            <w:vAlign w:val="center"/>
          </w:tcPr>
          <w:p w14:paraId="37FA1FA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投标人同类项目业绩情况</w:t>
            </w:r>
          </w:p>
        </w:tc>
        <w:tc>
          <w:tcPr>
            <w:tcW w:w="633" w:type="pct"/>
            <w:gridSpan w:val="2"/>
            <w:tcBorders>
              <w:top w:val="outset" w:color="000000" w:sz="6" w:space="0"/>
              <w:left w:val="outset" w:color="000000" w:sz="6" w:space="0"/>
              <w:bottom w:val="outset" w:color="000000" w:sz="6" w:space="0"/>
              <w:right w:val="outset" w:color="000000" w:sz="6" w:space="0"/>
            </w:tcBorders>
            <w:vAlign w:val="center"/>
          </w:tcPr>
          <w:p w14:paraId="4ED7FAF2">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16</w:t>
            </w:r>
          </w:p>
        </w:tc>
        <w:tc>
          <w:tcPr>
            <w:tcW w:w="2574" w:type="pct"/>
            <w:gridSpan w:val="2"/>
            <w:tcBorders>
              <w:top w:val="outset" w:color="000000" w:sz="6" w:space="0"/>
              <w:left w:val="outset" w:color="000000" w:sz="6" w:space="0"/>
              <w:bottom w:val="outset" w:color="000000" w:sz="6" w:space="0"/>
              <w:right w:val="outset" w:color="000000" w:sz="6" w:space="0"/>
            </w:tcBorders>
            <w:vAlign w:val="center"/>
          </w:tcPr>
          <w:p w14:paraId="6C138AAE">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（一）评分内容：</w:t>
            </w:r>
          </w:p>
          <w:p w14:paraId="50D78324">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color w:val="FF0000"/>
                <w:szCs w:val="21"/>
                <w:highlight w:val="yellow"/>
              </w:rPr>
              <w:t>投标人</w:t>
            </w:r>
            <w:r>
              <w:rPr>
                <w:rFonts w:hint="eastAsia" w:asciiTheme="minorEastAsia" w:hAnsiTheme="minorEastAsia" w:eastAsiaTheme="minorEastAsia" w:cstheme="minorEastAsia"/>
                <w:color w:val="auto"/>
                <w:kern w:val="2"/>
                <w:sz w:val="21"/>
                <w:szCs w:val="21"/>
                <w:lang w:val="en-US" w:eastAsia="zh-CN" w:bidi="ar-SA"/>
              </w:rPr>
              <w:t>近三年（</w:t>
            </w:r>
            <w:r>
              <w:rPr>
                <w:rFonts w:hint="eastAsia" w:asciiTheme="minorEastAsia" w:hAnsiTheme="minorEastAsia" w:eastAsiaTheme="minorEastAsia" w:cstheme="minorEastAsia"/>
                <w:sz w:val="21"/>
                <w:szCs w:val="21"/>
                <w:lang w:val="en-US" w:eastAsia="zh-CN"/>
              </w:rPr>
              <w:t>投标截止日</w:t>
            </w:r>
            <w:r>
              <w:rPr>
                <w:rFonts w:hint="eastAsia" w:asciiTheme="minorEastAsia" w:hAnsiTheme="minorEastAsia" w:eastAsiaTheme="minorEastAsia" w:cstheme="minorEastAsia"/>
                <w:color w:val="auto"/>
                <w:kern w:val="2"/>
                <w:sz w:val="21"/>
                <w:szCs w:val="21"/>
                <w:lang w:val="en-US" w:eastAsia="zh-CN" w:bidi="ar-SA"/>
              </w:rPr>
              <w:t>起向前推算）</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以中标通知书上载明日期或合同签订时间为准</w:t>
            </w:r>
            <w:r>
              <w:rPr>
                <w:rFonts w:hint="eastAsia" w:asciiTheme="minorEastAsia" w:hAnsiTheme="minorEastAsia" w:eastAsiaTheme="minorEastAsia" w:cstheme="minorEastAsia"/>
                <w:sz w:val="21"/>
                <w:szCs w:val="21"/>
                <w:lang w:eastAsia="zh-CN"/>
              </w:rPr>
              <w:t>）</w:t>
            </w:r>
            <w:r>
              <w:rPr>
                <w:rFonts w:hint="eastAsia" w:asciiTheme="minorEastAsia" w:hAnsiTheme="minorEastAsia" w:cstheme="minorEastAsia"/>
                <w:sz w:val="21"/>
                <w:szCs w:val="21"/>
                <w:lang w:val="en-US" w:eastAsia="zh-CN"/>
              </w:rPr>
              <w:t>同类</w:t>
            </w:r>
            <w:r>
              <w:rPr>
                <w:rFonts w:hint="eastAsia" w:asciiTheme="minorEastAsia" w:hAnsiTheme="minorEastAsia" w:eastAsiaTheme="minorEastAsia" w:cstheme="minorEastAsia"/>
                <w:sz w:val="21"/>
                <w:szCs w:val="21"/>
              </w:rPr>
              <w:t>软件产品或软件维护</w:t>
            </w:r>
            <w:r>
              <w:rPr>
                <w:rFonts w:hint="eastAsia" w:asciiTheme="minorEastAsia" w:hAnsiTheme="minorEastAsia" w:eastAsiaTheme="minorEastAsia" w:cstheme="minorEastAsia"/>
                <w:szCs w:val="21"/>
              </w:rPr>
              <w:t>项目成功案例</w:t>
            </w:r>
            <w:r>
              <w:rPr>
                <w:rFonts w:hint="eastAsia" w:asciiTheme="minorEastAsia" w:hAnsiTheme="minorEastAsia" w:eastAsiaTheme="minorEastAsia" w:cstheme="minorEastAsia"/>
                <w:sz w:val="21"/>
                <w:szCs w:val="21"/>
              </w:rPr>
              <w:t>，每提供一个得</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分，最多得</w:t>
            </w:r>
            <w:r>
              <w:rPr>
                <w:rFonts w:hint="eastAsia" w:asciiTheme="minorEastAsia" w:hAnsiTheme="minorEastAsia" w:cstheme="minorEastAsia"/>
                <w:sz w:val="21"/>
                <w:szCs w:val="21"/>
                <w:lang w:val="en-US" w:eastAsia="zh-CN"/>
              </w:rPr>
              <w:t>16</w:t>
            </w:r>
            <w:r>
              <w:rPr>
                <w:rFonts w:hint="eastAsia" w:asciiTheme="minorEastAsia" w:hAnsiTheme="minorEastAsia" w:eastAsiaTheme="minorEastAsia" w:cstheme="minorEastAsia"/>
                <w:sz w:val="21"/>
                <w:szCs w:val="21"/>
              </w:rPr>
              <w:t>分，未提供的不得分。同一个单位的项目不能重复计算。</w:t>
            </w:r>
          </w:p>
          <w:p w14:paraId="76846BC9">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（二）评分依据：</w:t>
            </w:r>
          </w:p>
          <w:p w14:paraId="307EEDF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1.要求提供合同关键信息（合同首页、金额页、合同盖章页）证明文件作为得分依据。</w:t>
            </w:r>
          </w:p>
          <w:p w14:paraId="5F0DF5A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2.通过合同关键信息无法判断是否得分的，还须同时提供能证明得分的其它证明资料，如项目报告或合同甲方出具的证明文件等。</w:t>
            </w:r>
          </w:p>
          <w:p w14:paraId="6C96BD5F">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Cs w:val="21"/>
              </w:rPr>
              <w:t>3.以上资料均要求提供复印件，并加盖投标人公章，原件备查。评分中出现无证明资料或专家无法凭所提供资料判断是否得分的情况，一律作不得分处理。</w:t>
            </w:r>
          </w:p>
        </w:tc>
      </w:tr>
      <w:tr w14:paraId="311C22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463" w:type="pct"/>
            <w:tcBorders>
              <w:top w:val="single" w:color="000000" w:sz="8" w:space="0"/>
              <w:left w:val="single" w:color="000000" w:sz="8" w:space="0"/>
              <w:bottom w:val="single" w:color="000000" w:sz="8" w:space="0"/>
              <w:right w:val="single" w:color="000000" w:sz="8" w:space="0"/>
            </w:tcBorders>
            <w:vAlign w:val="center"/>
          </w:tcPr>
          <w:p w14:paraId="6E28DF07">
            <w:pPr>
              <w:jc w:val="center"/>
              <w:rPr>
                <w:rFonts w:hint="eastAsia" w:asciiTheme="minorEastAsia" w:hAnsiTheme="minorEastAsia" w:eastAsiaTheme="minorEastAsia" w:cstheme="minorEastAsia"/>
                <w:b/>
                <w:bCs/>
                <w:sz w:val="21"/>
                <w:szCs w:val="21"/>
              </w:rPr>
            </w:pPr>
          </w:p>
        </w:tc>
        <w:tc>
          <w:tcPr>
            <w:tcW w:w="390" w:type="pct"/>
            <w:tcBorders>
              <w:top w:val="outset" w:color="000000" w:sz="6" w:space="0"/>
              <w:left w:val="outset" w:color="000000" w:sz="6" w:space="0"/>
              <w:bottom w:val="outset" w:color="000000" w:sz="6" w:space="0"/>
              <w:right w:val="outset" w:color="000000" w:sz="6" w:space="0"/>
            </w:tcBorders>
            <w:vAlign w:val="center"/>
          </w:tcPr>
          <w:p w14:paraId="2B6D4F18">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938" w:type="pct"/>
            <w:tcBorders>
              <w:top w:val="outset" w:color="000000" w:sz="6" w:space="0"/>
              <w:left w:val="outset" w:color="000000" w:sz="6" w:space="0"/>
              <w:bottom w:val="outset" w:color="000000" w:sz="6" w:space="0"/>
              <w:right w:val="outset" w:color="000000" w:sz="6" w:space="0"/>
            </w:tcBorders>
            <w:vAlign w:val="center"/>
          </w:tcPr>
          <w:p w14:paraId="5077BF4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拟安排的项目团队成员（项目负责人除外）情况</w:t>
            </w:r>
          </w:p>
        </w:tc>
        <w:tc>
          <w:tcPr>
            <w:tcW w:w="633" w:type="pct"/>
            <w:gridSpan w:val="2"/>
            <w:tcBorders>
              <w:top w:val="outset" w:color="000000" w:sz="6" w:space="0"/>
              <w:left w:val="outset" w:color="000000" w:sz="6" w:space="0"/>
              <w:bottom w:val="outset" w:color="000000" w:sz="6" w:space="0"/>
              <w:right w:val="outset" w:color="000000" w:sz="6" w:space="0"/>
            </w:tcBorders>
            <w:vAlign w:val="center"/>
          </w:tcPr>
          <w:p w14:paraId="4ED4DA91">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4</w:t>
            </w:r>
          </w:p>
        </w:tc>
        <w:tc>
          <w:tcPr>
            <w:tcW w:w="2574" w:type="pct"/>
            <w:gridSpan w:val="2"/>
            <w:tcBorders>
              <w:top w:val="outset" w:color="000000" w:sz="6" w:space="0"/>
              <w:left w:val="outset" w:color="000000" w:sz="6" w:space="0"/>
              <w:bottom w:val="outset" w:color="000000" w:sz="6" w:space="0"/>
              <w:right w:val="outset" w:color="000000" w:sz="6" w:space="0"/>
            </w:tcBorders>
          </w:tcPr>
          <w:p w14:paraId="086FEB1E">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（一）评分内容：</w:t>
            </w:r>
          </w:p>
          <w:p w14:paraId="08017EC6">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投标人拟安排的项目团队成员总数为</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人以上（包含</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人）的，得</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分，未达到人数要求的，不得分。</w:t>
            </w:r>
          </w:p>
          <w:p w14:paraId="51300186">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（二）评分依据：</w:t>
            </w:r>
          </w:p>
          <w:p w14:paraId="034648FB">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以上人员须为要求须为投标单位员工的，须提供缴纳社保的证明材料（社保资料必须至少显示缴交养老保险信息，未显示该信息的社保资料不符合要求）。如因社保部门原因当月社保无法取得的，可往前顺延一个月。如投标人成立不足三个月的，可提供承诺函代替社保证明。未按要求提供本项证明的，该人员不得分。</w:t>
            </w:r>
          </w:p>
          <w:p w14:paraId="35DD38ED">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.以上资料均要求提供复印件，并加盖投标人公章，原件备查。评分中出现无证明资料或专家无法凭所提供资料判断是否得分的情况，一律作不得分处理。</w:t>
            </w:r>
          </w:p>
        </w:tc>
      </w:tr>
      <w:tr w14:paraId="3AAF32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63" w:type="pct"/>
            <w:tcBorders>
              <w:top w:val="single" w:color="000000" w:sz="8" w:space="0"/>
              <w:left w:val="single" w:color="000000" w:sz="8" w:space="0"/>
              <w:bottom w:val="single" w:color="000000" w:sz="8" w:space="0"/>
              <w:right w:val="single" w:color="000000" w:sz="8" w:space="0"/>
            </w:tcBorders>
            <w:shd w:val="clear" w:color="auto" w:fill="C7DAF1"/>
            <w:vAlign w:val="center"/>
          </w:tcPr>
          <w:p w14:paraId="04A604F5">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4</w:t>
            </w:r>
          </w:p>
        </w:tc>
        <w:tc>
          <w:tcPr>
            <w:tcW w:w="1328" w:type="pct"/>
            <w:gridSpan w:val="2"/>
            <w:tcBorders>
              <w:top w:val="single" w:color="000000" w:sz="8" w:space="0"/>
              <w:left w:val="single" w:color="000000" w:sz="8" w:space="0"/>
              <w:bottom w:val="single" w:color="000000" w:sz="8" w:space="0"/>
              <w:right w:val="single" w:color="000000" w:sz="8" w:space="0"/>
            </w:tcBorders>
            <w:shd w:val="clear" w:color="auto" w:fill="C7DAF1"/>
            <w:vAlign w:val="center"/>
          </w:tcPr>
          <w:p w14:paraId="19D69D3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诚信</w:t>
            </w:r>
          </w:p>
        </w:tc>
        <w:tc>
          <w:tcPr>
            <w:tcW w:w="3208" w:type="pct"/>
            <w:gridSpan w:val="4"/>
            <w:tcBorders>
              <w:top w:val="single" w:color="000000" w:sz="8" w:space="0"/>
              <w:left w:val="single" w:color="000000" w:sz="8" w:space="0"/>
              <w:bottom w:val="single" w:color="000000" w:sz="8" w:space="0"/>
              <w:right w:val="single" w:color="000000" w:sz="8" w:space="0"/>
            </w:tcBorders>
            <w:shd w:val="clear" w:color="auto" w:fill="C7DAF1"/>
            <w:vAlign w:val="center"/>
          </w:tcPr>
          <w:p w14:paraId="0A206E9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5</w:t>
            </w:r>
          </w:p>
        </w:tc>
      </w:tr>
      <w:tr w14:paraId="7E7D75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74" w:hRule="atLeast"/>
          <w:jc w:val="center"/>
        </w:trPr>
        <w:tc>
          <w:tcPr>
            <w:tcW w:w="463" w:type="pct"/>
            <w:tcBorders>
              <w:top w:val="single" w:color="000000" w:sz="8" w:space="0"/>
              <w:left w:val="single" w:color="000000" w:sz="8" w:space="0"/>
              <w:bottom w:val="single" w:color="000000" w:sz="8" w:space="0"/>
              <w:right w:val="single" w:color="000000" w:sz="8" w:space="0"/>
            </w:tcBorders>
            <w:vAlign w:val="center"/>
          </w:tcPr>
          <w:p w14:paraId="3298CC46">
            <w:pPr>
              <w:jc w:val="center"/>
              <w:rPr>
                <w:rFonts w:hint="eastAsia" w:asciiTheme="minorEastAsia" w:hAnsiTheme="minorEastAsia" w:eastAsiaTheme="minorEastAsia" w:cstheme="minorEastAsia"/>
                <w:b/>
                <w:bCs/>
                <w:sz w:val="21"/>
                <w:szCs w:val="21"/>
              </w:rPr>
            </w:pPr>
          </w:p>
        </w:tc>
        <w:tc>
          <w:tcPr>
            <w:tcW w:w="390" w:type="pct"/>
            <w:tcBorders>
              <w:top w:val="single" w:color="000000" w:sz="8" w:space="0"/>
              <w:left w:val="single" w:color="000000" w:sz="8" w:space="0"/>
              <w:bottom w:val="single" w:color="000000" w:sz="8" w:space="0"/>
              <w:right w:val="single" w:color="000000" w:sz="8" w:space="0"/>
            </w:tcBorders>
            <w:vAlign w:val="center"/>
          </w:tcPr>
          <w:p w14:paraId="0C34682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938" w:type="pct"/>
            <w:tcBorders>
              <w:top w:val="single" w:color="000000" w:sz="8" w:space="0"/>
              <w:left w:val="single" w:color="000000" w:sz="8" w:space="0"/>
              <w:bottom w:val="single" w:color="000000" w:sz="8" w:space="0"/>
              <w:right w:val="single" w:color="000000" w:sz="8" w:space="0"/>
            </w:tcBorders>
            <w:vAlign w:val="center"/>
          </w:tcPr>
          <w:p w14:paraId="3AD14F59">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评分因素</w:t>
            </w:r>
          </w:p>
        </w:tc>
        <w:tc>
          <w:tcPr>
            <w:tcW w:w="648" w:type="pct"/>
            <w:gridSpan w:val="3"/>
            <w:tcBorders>
              <w:top w:val="single" w:color="000000" w:sz="8" w:space="0"/>
              <w:left w:val="single" w:color="000000" w:sz="8" w:space="0"/>
              <w:bottom w:val="single" w:color="000000" w:sz="8" w:space="0"/>
              <w:right w:val="single" w:color="000000" w:sz="8" w:space="0"/>
            </w:tcBorders>
            <w:vAlign w:val="center"/>
          </w:tcPr>
          <w:p w14:paraId="23FF68C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权重(%)</w:t>
            </w:r>
          </w:p>
        </w:tc>
        <w:tc>
          <w:tcPr>
            <w:tcW w:w="2559" w:type="pct"/>
            <w:tcBorders>
              <w:top w:val="single" w:color="000000" w:sz="8" w:space="0"/>
              <w:left w:val="single" w:color="000000" w:sz="8" w:space="0"/>
              <w:bottom w:val="single" w:color="000000" w:sz="8" w:space="0"/>
              <w:right w:val="single" w:color="000000" w:sz="8" w:space="0"/>
            </w:tcBorders>
            <w:vAlign w:val="center"/>
          </w:tcPr>
          <w:p w14:paraId="7E87A628">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评分准则</w:t>
            </w:r>
          </w:p>
        </w:tc>
      </w:tr>
      <w:tr w14:paraId="61E02E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63" w:type="pct"/>
            <w:tcBorders>
              <w:top w:val="single" w:color="000000" w:sz="8" w:space="0"/>
              <w:left w:val="single" w:color="000000" w:sz="8" w:space="0"/>
              <w:bottom w:val="single" w:color="000000" w:sz="8" w:space="0"/>
              <w:right w:val="single" w:color="000000" w:sz="8" w:space="0"/>
            </w:tcBorders>
            <w:vAlign w:val="center"/>
          </w:tcPr>
          <w:p w14:paraId="001F9C2A">
            <w:pPr>
              <w:jc w:val="center"/>
              <w:rPr>
                <w:rFonts w:hint="eastAsia" w:asciiTheme="minorEastAsia" w:hAnsiTheme="minorEastAsia" w:eastAsiaTheme="minorEastAsia" w:cstheme="minorEastAsia"/>
                <w:b/>
                <w:bCs/>
                <w:sz w:val="21"/>
                <w:szCs w:val="21"/>
              </w:rPr>
            </w:pPr>
          </w:p>
        </w:tc>
        <w:tc>
          <w:tcPr>
            <w:tcW w:w="390" w:type="pct"/>
            <w:tcBorders>
              <w:top w:val="single" w:color="000000" w:sz="8" w:space="0"/>
              <w:left w:val="single" w:color="000000" w:sz="8" w:space="0"/>
              <w:bottom w:val="single" w:color="000000" w:sz="8" w:space="0"/>
              <w:right w:val="single" w:color="000000" w:sz="8" w:space="0"/>
            </w:tcBorders>
            <w:vAlign w:val="center"/>
          </w:tcPr>
          <w:p w14:paraId="32094F0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938" w:type="pct"/>
            <w:tcBorders>
              <w:top w:val="single" w:color="000000" w:sz="8" w:space="0"/>
              <w:left w:val="single" w:color="000000" w:sz="8" w:space="0"/>
              <w:bottom w:val="single" w:color="000000" w:sz="8" w:space="0"/>
              <w:right w:val="single" w:color="000000" w:sz="8" w:space="0"/>
            </w:tcBorders>
            <w:vAlign w:val="center"/>
          </w:tcPr>
          <w:p w14:paraId="5283D88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诚信</w:t>
            </w:r>
          </w:p>
        </w:tc>
        <w:tc>
          <w:tcPr>
            <w:tcW w:w="648" w:type="pct"/>
            <w:gridSpan w:val="3"/>
            <w:tcBorders>
              <w:top w:val="single" w:color="000000" w:sz="8" w:space="0"/>
              <w:left w:val="single" w:color="000000" w:sz="8" w:space="0"/>
              <w:bottom w:val="single" w:color="000000" w:sz="8" w:space="0"/>
              <w:right w:val="single" w:color="000000" w:sz="8" w:space="0"/>
            </w:tcBorders>
            <w:vAlign w:val="center"/>
          </w:tcPr>
          <w:p w14:paraId="0EF0B9FD">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559" w:type="pct"/>
            <w:tcBorders>
              <w:top w:val="single" w:color="000000" w:sz="8" w:space="0"/>
              <w:left w:val="single" w:color="000000" w:sz="8" w:space="0"/>
              <w:bottom w:val="single" w:color="000000" w:sz="8" w:space="0"/>
              <w:right w:val="single" w:color="000000" w:sz="8" w:space="0"/>
            </w:tcBorders>
            <w:vAlign w:val="center"/>
          </w:tcPr>
          <w:p w14:paraId="3EAD6A49">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评分内容：依据相关规定：投标人因违法违规被记入诚信档案且在有效期内的，不得分；不存在此类情况的，或虽受过行政处罚但行政处罚期已满，可参与政府采购投标活动的，得5分。</w:t>
            </w:r>
          </w:p>
          <w:p w14:paraId="14A7A8BF">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证明材料：以提供《企业诚信声明与承诺》（格式自拟，加盖公章）为准，未提供或提供的不符合（或不清晰）导致无法判断的均不得分。</w:t>
            </w:r>
          </w:p>
        </w:tc>
      </w:tr>
    </w:tbl>
    <w:p w14:paraId="0166B676">
      <w:pPr>
        <w:rPr>
          <w:rFonts w:hint="eastAsia"/>
        </w:rPr>
      </w:pPr>
    </w:p>
    <w:p w14:paraId="3350324C">
      <w:pPr>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0F41C06F">
        <w:pPr>
          <w:pStyle w:val="3"/>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53A92">
    <w:pPr>
      <w:pStyle w:val="4"/>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12441"/>
    <w:multiLevelType w:val="singleLevel"/>
    <w:tmpl w:val="8B812441"/>
    <w:lvl w:ilvl="0" w:tentative="0">
      <w:start w:val="1"/>
      <w:numFmt w:val="decimalEnclosedCircleChinese"/>
      <w:suff w:val="nothing"/>
      <w:lvlText w:val="%1　"/>
      <w:lvlJc w:val="left"/>
      <w:pPr>
        <w:ind w:left="0" w:firstLine="400"/>
      </w:pPr>
      <w:rPr>
        <w:rFonts w:hint="eastAsia"/>
      </w:rPr>
    </w:lvl>
  </w:abstractNum>
  <w:abstractNum w:abstractNumId="1">
    <w:nsid w:val="96F36F45"/>
    <w:multiLevelType w:val="singleLevel"/>
    <w:tmpl w:val="96F36F45"/>
    <w:lvl w:ilvl="0" w:tentative="0">
      <w:start w:val="1"/>
      <w:numFmt w:val="decimal"/>
      <w:lvlText w:val="%1."/>
      <w:lvlJc w:val="left"/>
      <w:pPr>
        <w:ind w:left="425" w:hanging="425"/>
      </w:pPr>
      <w:rPr>
        <w:rFonts w:hint="default"/>
      </w:rPr>
    </w:lvl>
  </w:abstractNum>
  <w:abstractNum w:abstractNumId="2">
    <w:nsid w:val="A67903EB"/>
    <w:multiLevelType w:val="singleLevel"/>
    <w:tmpl w:val="A67903EB"/>
    <w:lvl w:ilvl="0" w:tentative="0">
      <w:start w:val="3"/>
      <w:numFmt w:val="chineseCounting"/>
      <w:suff w:val="nothing"/>
      <w:lvlText w:val="（%1）"/>
      <w:lvlJc w:val="left"/>
      <w:rPr>
        <w:rFonts w:hint="eastAsia"/>
        <w:b/>
        <w:bCs/>
      </w:rPr>
    </w:lvl>
  </w:abstractNum>
  <w:abstractNum w:abstractNumId="3">
    <w:nsid w:val="D581D833"/>
    <w:multiLevelType w:val="singleLevel"/>
    <w:tmpl w:val="D581D833"/>
    <w:lvl w:ilvl="0" w:tentative="0">
      <w:start w:val="1"/>
      <w:numFmt w:val="decimal"/>
      <w:lvlText w:val="%1."/>
      <w:lvlJc w:val="left"/>
      <w:pPr>
        <w:ind w:left="425" w:hanging="425"/>
      </w:pPr>
      <w:rPr>
        <w:rFonts w:hint="default"/>
      </w:rPr>
    </w:lvl>
  </w:abstractNum>
  <w:abstractNum w:abstractNumId="4">
    <w:nsid w:val="E96823D9"/>
    <w:multiLevelType w:val="singleLevel"/>
    <w:tmpl w:val="E96823D9"/>
    <w:lvl w:ilvl="0" w:tentative="0">
      <w:start w:val="1"/>
      <w:numFmt w:val="decimal"/>
      <w:lvlText w:val="(%1)"/>
      <w:lvlJc w:val="left"/>
      <w:pPr>
        <w:tabs>
          <w:tab w:val="left" w:pos="420"/>
        </w:tabs>
        <w:ind w:left="425" w:leftChars="0" w:hanging="425" w:firstLineChars="0"/>
      </w:pPr>
      <w:rPr>
        <w:rFonts w:hint="default"/>
      </w:rPr>
    </w:lvl>
  </w:abstractNum>
  <w:abstractNum w:abstractNumId="5">
    <w:nsid w:val="11702EDB"/>
    <w:multiLevelType w:val="multilevel"/>
    <w:tmpl w:val="11702E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9689641"/>
    <w:multiLevelType w:val="singleLevel"/>
    <w:tmpl w:val="39689641"/>
    <w:lvl w:ilvl="0" w:tentative="0">
      <w:start w:val="1"/>
      <w:numFmt w:val="chineseCounting"/>
      <w:suff w:val="nothing"/>
      <w:lvlText w:val="（%1）"/>
      <w:lvlJc w:val="left"/>
      <w:pPr>
        <w:ind w:left="0" w:firstLine="420"/>
      </w:pPr>
      <w:rPr>
        <w:rFonts w:hint="eastAsia"/>
      </w:rPr>
    </w:lvl>
  </w:abstractNum>
  <w:abstractNum w:abstractNumId="7">
    <w:nsid w:val="4F4D2419"/>
    <w:multiLevelType w:val="singleLevel"/>
    <w:tmpl w:val="4F4D2419"/>
    <w:lvl w:ilvl="0" w:tentative="0">
      <w:start w:val="1"/>
      <w:numFmt w:val="decimal"/>
      <w:lvlText w:val="(%1)"/>
      <w:lvlJc w:val="left"/>
      <w:pPr>
        <w:ind w:left="425" w:hanging="425"/>
      </w:pPr>
      <w:rPr>
        <w:rFonts w:hint="default"/>
      </w:rPr>
    </w:lvl>
  </w:abstractNum>
  <w:abstractNum w:abstractNumId="8">
    <w:nsid w:val="746A6B31"/>
    <w:multiLevelType w:val="singleLevel"/>
    <w:tmpl w:val="746A6B31"/>
    <w:lvl w:ilvl="0" w:tentative="0">
      <w:start w:val="1"/>
      <w:numFmt w:val="chineseCounting"/>
      <w:suff w:val="nothing"/>
      <w:lvlText w:val="（%1）"/>
      <w:lvlJc w:val="left"/>
      <w:pPr>
        <w:ind w:left="-420" w:firstLine="420"/>
      </w:pPr>
      <w:rPr>
        <w:rFonts w:hint="eastAsia"/>
      </w:rPr>
    </w:lvl>
  </w:abstractNum>
  <w:abstractNum w:abstractNumId="9">
    <w:nsid w:val="79C45AF2"/>
    <w:multiLevelType w:val="singleLevel"/>
    <w:tmpl w:val="79C45AF2"/>
    <w:lvl w:ilvl="0" w:tentative="0">
      <w:start w:val="1"/>
      <w:numFmt w:val="decimal"/>
      <w:lvlText w:val="(%1)"/>
      <w:lvlJc w:val="left"/>
      <w:pPr>
        <w:tabs>
          <w:tab w:val="left" w:pos="420"/>
        </w:tabs>
        <w:ind w:left="425" w:leftChars="0" w:hanging="425" w:firstLineChars="0"/>
      </w:pPr>
      <w:rPr>
        <w:rFonts w:hint="default"/>
      </w:rPr>
    </w:lvl>
  </w:abstractNum>
  <w:num w:numId="1">
    <w:abstractNumId w:val="5"/>
  </w:num>
  <w:num w:numId="2">
    <w:abstractNumId w:val="8"/>
  </w:num>
  <w:num w:numId="3">
    <w:abstractNumId w:val="1"/>
  </w:num>
  <w:num w:numId="4">
    <w:abstractNumId w:val="7"/>
  </w:num>
  <w:num w:numId="5">
    <w:abstractNumId w:val="2"/>
  </w:num>
  <w:num w:numId="6">
    <w:abstractNumId w:val="3"/>
  </w:num>
  <w:num w:numId="7">
    <w:abstractNumId w:val="9"/>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xNzhhZWVjZDVjYzFiNzUyN2FlYmU1YTIwNTA2N2MifQ=="/>
  </w:docVars>
  <w:rsids>
    <w:rsidRoot w:val="00681410"/>
    <w:rsid w:val="0002072A"/>
    <w:rsid w:val="00061E07"/>
    <w:rsid w:val="00160CAF"/>
    <w:rsid w:val="00162818"/>
    <w:rsid w:val="00216720"/>
    <w:rsid w:val="002277A4"/>
    <w:rsid w:val="00681410"/>
    <w:rsid w:val="0078244A"/>
    <w:rsid w:val="008914B7"/>
    <w:rsid w:val="00A90097"/>
    <w:rsid w:val="00A90BE0"/>
    <w:rsid w:val="00B6522C"/>
    <w:rsid w:val="00B97AED"/>
    <w:rsid w:val="00C865F2"/>
    <w:rsid w:val="00C9106E"/>
    <w:rsid w:val="00D4723B"/>
    <w:rsid w:val="00F43941"/>
    <w:rsid w:val="00FD5CBB"/>
    <w:rsid w:val="070C00C1"/>
    <w:rsid w:val="07A74A16"/>
    <w:rsid w:val="0C6A7D1D"/>
    <w:rsid w:val="0D532C76"/>
    <w:rsid w:val="14C5698B"/>
    <w:rsid w:val="178612A4"/>
    <w:rsid w:val="18FE0E90"/>
    <w:rsid w:val="1C4A5F2B"/>
    <w:rsid w:val="23DB407A"/>
    <w:rsid w:val="268A3AF4"/>
    <w:rsid w:val="2B033E75"/>
    <w:rsid w:val="2CBA4A07"/>
    <w:rsid w:val="2E7D0456"/>
    <w:rsid w:val="312A0667"/>
    <w:rsid w:val="31BC3D81"/>
    <w:rsid w:val="32E6364D"/>
    <w:rsid w:val="345D1B1D"/>
    <w:rsid w:val="386B2CF7"/>
    <w:rsid w:val="399F7657"/>
    <w:rsid w:val="39E22048"/>
    <w:rsid w:val="3BE455FD"/>
    <w:rsid w:val="3F523450"/>
    <w:rsid w:val="3F786788"/>
    <w:rsid w:val="418F2299"/>
    <w:rsid w:val="47946129"/>
    <w:rsid w:val="4C4243A5"/>
    <w:rsid w:val="4F624D5E"/>
    <w:rsid w:val="508C51C3"/>
    <w:rsid w:val="539D45B7"/>
    <w:rsid w:val="571175E1"/>
    <w:rsid w:val="59266DFD"/>
    <w:rsid w:val="5D6963F5"/>
    <w:rsid w:val="60ED2C04"/>
    <w:rsid w:val="62AB1A2E"/>
    <w:rsid w:val="6C355BEB"/>
    <w:rsid w:val="6C70102E"/>
    <w:rsid w:val="6D282CEC"/>
    <w:rsid w:val="6E0472B5"/>
    <w:rsid w:val="701525B1"/>
    <w:rsid w:val="71E73078"/>
    <w:rsid w:val="74974D88"/>
    <w:rsid w:val="74B15375"/>
    <w:rsid w:val="78B46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left="704" w:hanging="420"/>
    </w:pPr>
    <w:rPr>
      <w:rFonts w:ascii="Times New Roman" w:hAnsi="Times New Roman" w:eastAsia="黑体" w:cs="Times New Roman"/>
      <w:sz w:val="32"/>
      <w:szCs w:val="24"/>
    </w:rPr>
  </w:style>
  <w:style w:type="character" w:customStyle="1" w:styleId="11">
    <w:name w:val="标题 1 字符"/>
    <w:basedOn w:val="7"/>
    <w:link w:val="2"/>
    <w:qFormat/>
    <w:uiPriority w:val="9"/>
    <w:rPr>
      <w:b/>
      <w:bCs/>
      <w:kern w:val="44"/>
      <w:sz w:val="44"/>
      <w:szCs w:val="44"/>
    </w:rPr>
  </w:style>
  <w:style w:type="character" w:customStyle="1" w:styleId="12">
    <w:name w:val="fontstyle01"/>
    <w:basedOn w:val="7"/>
    <w:qFormat/>
    <w:uiPriority w:val="0"/>
    <w:rPr>
      <w:rFonts w:ascii="仿宋_GB2312" w:hAnsi="仿宋_GB2312" w:eastAsia="仿宋_GB2312" w:cs="仿宋_GB2312"/>
      <w:color w:val="00000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2141</Words>
  <Characters>2195</Characters>
  <Lines>63</Lines>
  <Paragraphs>59</Paragraphs>
  <TotalTime>1</TotalTime>
  <ScaleCrop>false</ScaleCrop>
  <LinksUpToDate>false</LinksUpToDate>
  <CharactersWithSpaces>2275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2024-01-10T08:47:00Z</dcterms:created>
  <dc:creator>Liu W</dc:creator>
  <cp:lastModifiedBy>JH</cp:lastModifiedBy>
  <dcterms:modified xsi:type="dcterms:W3CDTF">2025-09-04T03:00:47Z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142442A4D80C480C969BFE5610635DFA</vt:lpwstr>
  </property>
  <property fmtid="{D5CDD505-2E9C-101B-9397-08002B2CF9AE}" pid="4" name="KSOTemplateDocerSaveRecord">
    <vt:lpwstr>eyJoZGlkIjoiOTgxNzhhZWVjZDVjYzFiNzUyN2FlYmU1YTIwNTA2N2MiLCJ1c2VySWQiOiIxMTI2ODg3MDA2In0=</vt:lpwstr>
  </property>
</Properties>
</file>