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C07B6">
      <w:pPr>
        <w:pStyle w:val="13"/>
        <w:widowControl/>
        <w:numPr>
          <w:ilvl w:val="0"/>
          <w:numId w:val="1"/>
        </w:numPr>
        <w:spacing w:line="360" w:lineRule="auto"/>
        <w:jc w:val="left"/>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项目基本情况</w:t>
      </w:r>
    </w:p>
    <w:p w14:paraId="33CE15AB">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项目名称：公务车辆维修服务</w:t>
      </w:r>
    </w:p>
    <w:p w14:paraId="671C2A42">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项目预算：22万元</w:t>
      </w:r>
    </w:p>
    <w:p w14:paraId="09298D92">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w:t>
      </w:r>
    </w:p>
    <w:p w14:paraId="09A45A61">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4A6B4070">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采购类别：服务</w:t>
      </w:r>
    </w:p>
    <w:p w14:paraId="51007178">
      <w:pPr>
        <w:widowControl/>
        <w:spacing w:line="360" w:lineRule="auto"/>
        <w:ind w:left="142"/>
        <w:jc w:val="left"/>
        <w:rPr>
          <w:rFonts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rPr>
        <w:t>（二）项目采购需求：</w:t>
      </w:r>
    </w:p>
    <w:p w14:paraId="68240ADD">
      <w:pPr>
        <w:pStyle w:val="13"/>
        <w:widowControl/>
        <w:numPr>
          <w:ilvl w:val="0"/>
          <w:numId w:val="3"/>
        </w:num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采购项目需实现的功能和目标：</w:t>
      </w:r>
    </w:p>
    <w:p w14:paraId="02FC5C0B">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(一)维修内容:包括整车修理、总成修理、二级维护、整车及各级维护和小修、保养、维护救援和专项改装、内装饰工作。</w:t>
      </w:r>
    </w:p>
    <w:p w14:paraId="67341C88">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(二)免费对维修车辆提供洗车、内饰清洗、救援、搭火、充电、检测服务事故车维修(所有轿车每个月提供二次免费洗车，每年提供一次免费打蜡服务)。</w:t>
      </w:r>
    </w:p>
    <w:p w14:paraId="4AE784B6">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(三)严格按《广东省汽车、摩托车维修行业管理办法实施细则》的技术标准及汽车维修工艺规范实施服务，确保维修质量。在定点维修期间保证车辆处于良好技术状态和安全运行。</w:t>
      </w:r>
    </w:p>
    <w:p w14:paraId="7FE05045">
      <w:pPr>
        <w:pStyle w:val="13"/>
        <w:widowControl/>
        <w:spacing w:line="360" w:lineRule="auto"/>
        <w:ind w:left="706" w:leftChars="336" w:firstLine="0"/>
        <w:jc w:val="left"/>
        <w:rPr>
          <w:rFonts w:ascii="仿宋_GB2312" w:hAnsi="仿宋_GB2312" w:eastAsia="仿宋_GB2312" w:cs="仿宋_GB2312"/>
          <w:sz w:val="28"/>
          <w:szCs w:val="28"/>
        </w:rPr>
      </w:pPr>
      <w:r>
        <w:rPr>
          <w:rFonts w:ascii="仿宋_GB2312" w:hAnsi="仿宋_GB2312" w:eastAsia="仿宋_GB2312" w:cs="仿宋_GB2312"/>
          <w:sz w:val="28"/>
          <w:szCs w:val="28"/>
        </w:rPr>
        <w:t>(</w:t>
      </w:r>
      <w:bookmarkStart w:id="0" w:name="OLE_LINK1"/>
      <w:r>
        <w:rPr>
          <w:rFonts w:ascii="仿宋_GB2312" w:hAnsi="仿宋_GB2312" w:eastAsia="仿宋_GB2312" w:cs="仿宋_GB2312"/>
          <w:sz w:val="28"/>
          <w:szCs w:val="28"/>
        </w:rPr>
        <w:t>四</w:t>
      </w:r>
      <w:bookmarkEnd w:id="0"/>
      <w:r>
        <w:rPr>
          <w:rFonts w:ascii="仿宋_GB2312" w:hAnsi="仿宋_GB2312" w:eastAsia="仿宋_GB2312" w:cs="仿宋_GB2312"/>
          <w:sz w:val="28"/>
          <w:szCs w:val="28"/>
        </w:rPr>
        <w:t>)所采用的零部件、配件等材料必须符合国家或部颁标准(汽车生产厂商指定的配件生产企业为其生产的，经由厂商认证的配套零部件)，不得使用假冒伪劣产品或以次充好，以旧顶新。</w:t>
      </w:r>
    </w:p>
    <w:p w14:paraId="5F6FDC4A">
      <w:pPr>
        <w:pStyle w:val="13"/>
        <w:widowControl/>
        <w:numPr>
          <w:ilvl w:val="0"/>
          <w:numId w:val="4"/>
        </w:numPr>
        <w:spacing w:line="360" w:lineRule="auto"/>
        <w:jc w:val="left"/>
        <w:rPr>
          <w:rFonts w:ascii="仿宋_GB2312" w:hAnsi="仿宋_GB2312" w:eastAsia="仿宋_GB2312" w:cs="仿宋_GB2312"/>
          <w:szCs w:val="32"/>
        </w:rPr>
      </w:pPr>
      <w:r>
        <w:rPr>
          <w:rFonts w:hint="eastAsia" w:ascii="仿宋_GB2312" w:hAnsi="仿宋_GB2312" w:eastAsia="仿宋_GB2312" w:cs="仿宋_GB2312"/>
          <w:color w:val="000000"/>
          <w:szCs w:val="32"/>
        </w:rPr>
        <w:t>投标人</w:t>
      </w:r>
      <w:r>
        <w:rPr>
          <w:rFonts w:hint="eastAsia" w:ascii="仿宋_GB2312" w:hAnsi="仿宋_GB2312" w:eastAsia="仿宋_GB2312" w:cs="仿宋_GB2312"/>
          <w:szCs w:val="32"/>
        </w:rPr>
        <w:t>必须配备一辆以上(含一辆)应急上门服务的专用车，保证采购人车辆突发故障不能行驶时及时上门服务。</w:t>
      </w:r>
    </w:p>
    <w:p w14:paraId="2FDB80E7">
      <w:pPr>
        <w:pStyle w:val="13"/>
        <w:widowControl/>
        <w:numPr>
          <w:ilvl w:val="0"/>
          <w:numId w:val="4"/>
        </w:num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00"/>
          <w:szCs w:val="32"/>
        </w:rPr>
        <w:t>投标人</w:t>
      </w:r>
      <w:r>
        <w:rPr>
          <w:rFonts w:hint="eastAsia" w:ascii="仿宋_GB2312" w:hAnsi="仿宋_GB2312" w:eastAsia="仿宋_GB2312" w:cs="仿宋_GB2312"/>
          <w:szCs w:val="32"/>
        </w:rPr>
        <w:t>原则上应保证所采用的零配件是原厂、原装件，如因特殊因素改用非原厂、原</w:t>
      </w:r>
      <w:r>
        <w:rPr>
          <w:rFonts w:ascii="仿宋_GB2312" w:hAnsi="仿宋_GB2312" w:eastAsia="仿宋_GB2312" w:cs="仿宋_GB2312"/>
          <w:sz w:val="28"/>
          <w:szCs w:val="28"/>
        </w:rPr>
        <w:t>装配件的，为保证维修车辆的质量，维修时应向甲方提供零配件货物来源证明文件。将原厂配件、副厂配件分别标识，明码标价，供甲方自行选择确认。</w:t>
      </w:r>
    </w:p>
    <w:p w14:paraId="32E6D97D">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(五)乙方需提供 24小时施救、维修服务,设立应急电话,实行 24小时专人值班制度。车辆在深圳市区域内外出途中发生故障需急修的，应及时派员抢修。必须在1小时内做出相应措施或到达现场。</w:t>
      </w:r>
    </w:p>
    <w:p w14:paraId="08273746">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(六)在规定的时限内完成维修服务，保障甲方用车需要。车辆保养</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随到随修，车辆小修1日内完工，若甲方有完工时间要求时尽最大限度满足。车辆年度检测必须合格，且经甲方有关人员验收认可。</w:t>
      </w:r>
    </w:p>
    <w:p w14:paraId="20D57C75">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七)车辆整车修理或总成修理质量保证期，至少为车辆行驶20000公里或者365日:二级维护质量保证期至少为车辆行驶5000公里或者30日;一级维护、小修及专项修理质量保证期至少为车辆行驶2000公里或者10日(质量保证期中行驶里程和日期指标，以先达到者为准;机动车维修质量保证期，从维修竣工出厂之日起计算)</w:t>
      </w:r>
    </w:p>
    <w:p w14:paraId="201C68E7">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(八)必须按规定建立车辆技术档案和车辆维修档案及车辆信息档案提供日常免费保养和技术咨询服务。设立咨询电话专线。</w:t>
      </w:r>
    </w:p>
    <w:p w14:paraId="65F99CB8">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(九)车辆维修保养出厂后，在保修期内因维修保养技术、配件质量出现的质量故障，需负责无偿返修，直至符合要求为止。造成的损失由乙方负责全部赔偿。</w:t>
      </w:r>
    </w:p>
    <w:p w14:paraId="7F094478">
      <w:pPr>
        <w:pStyle w:val="13"/>
        <w:widowControl/>
        <w:spacing w:line="360" w:lineRule="auto"/>
        <w:ind w:left="705" w:leftChars="269" w:hanging="140" w:hangingChars="50"/>
        <w:jc w:val="left"/>
        <w:rPr>
          <w:rFonts w:ascii="仿宋_GB2312" w:hAnsi="仿宋_GB2312" w:eastAsia="仿宋_GB2312" w:cs="仿宋_GB2312"/>
          <w:sz w:val="28"/>
          <w:szCs w:val="28"/>
        </w:rPr>
      </w:pPr>
      <w:r>
        <w:rPr>
          <w:rFonts w:ascii="仿宋_GB2312" w:hAnsi="仿宋_GB2312" w:eastAsia="仿宋_GB2312" w:cs="仿宋_GB2312"/>
          <w:sz w:val="28"/>
          <w:szCs w:val="28"/>
        </w:rPr>
        <w:t>(十)车辆进厂维修保养时，乙方需与甲方授权人员共同对车辆检验，确认维修保养工时、实际维修保养使用何种配件、实际价格等，并征得权人员的书面同意后方可进行维修保养。维修保养完成之后，乙方须提供并清楚填写《维修保养工作单》，包括送修车型、车牌、维修保养项目、实际费用，双方签字确认。此单作为车辆维修保养档案，原件每月要提供给甲方，作为结算参考。</w:t>
      </w:r>
    </w:p>
    <w:p w14:paraId="195B35AF">
      <w:pPr>
        <w:pStyle w:val="13"/>
        <w:widowControl/>
        <w:spacing w:line="360" w:lineRule="auto"/>
        <w:ind w:left="985" w:firstLine="0"/>
        <w:jc w:val="left"/>
        <w:rPr>
          <w:rFonts w:ascii="仿宋_GB2312" w:hAnsi="仿宋_GB2312" w:eastAsia="仿宋_GB2312" w:cs="仿宋_GB2312"/>
          <w:color w:val="333333"/>
          <w:spacing w:val="-3"/>
          <w:szCs w:val="32"/>
        </w:rPr>
      </w:pPr>
      <w:r>
        <w:rPr>
          <w:rFonts w:ascii="仿宋_GB2312" w:hAnsi="仿宋_GB2312" w:eastAsia="仿宋_GB2312" w:cs="仿宋_GB2312"/>
          <w:sz w:val="28"/>
          <w:szCs w:val="28"/>
        </w:rPr>
        <w:t xml:space="preserve">(十一)车辆保养以修复为主，能不更换的零部件尽量不予更换，确实不能修复或修复成本较高的零部件，在征得我院授权人书面同意后方司更换。保养过程中，乙方如发现保养计划以外的故障，必须及时将相关情况书面反映给甲方授权人，在取得我院授权人书面同意后方可继续修理。           </w:t>
      </w:r>
      <w:r>
        <w:rPr>
          <w:rFonts w:ascii="仿宋_GB2312" w:hAnsi="仿宋_GB2312" w:eastAsia="仿宋_GB2312" w:cs="仿宋_GB2312"/>
          <w:sz w:val="28"/>
          <w:szCs w:val="28"/>
        </w:rPr>
        <w:br w:type="textWrapping"/>
      </w:r>
      <w:r>
        <w:rPr>
          <w:rFonts w:ascii="仿宋_GB2312" w:hAnsi="仿宋_GB2312" w:eastAsia="仿宋_GB2312" w:cs="仿宋_GB2312"/>
          <w:sz w:val="28"/>
          <w:szCs w:val="28"/>
        </w:rPr>
        <w:t xml:space="preserve">(十二)执行车辆维修服务工作。乙方应妥善保存在维修过程中所更换的零部件，以备采购人检查回收。乙方必须有正规的进货渠道，健全的出入库登记制度，并有维修车辆涉及的零配件进货价格票据资料供采购人进行监督检查。 </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(十三)维修情况沟通。</w:t>
      </w:r>
      <w:r>
        <w:rPr>
          <w:rFonts w:hint="eastAsia" w:ascii="仿宋_GB2312" w:hAnsi="仿宋_GB2312" w:eastAsia="仿宋_GB2312" w:cs="仿宋_GB2312"/>
          <w:sz w:val="28"/>
          <w:szCs w:val="28"/>
        </w:rPr>
        <w:t>在车辆维修期间，乙方要及时将车辆维修情况向报修单位反馈。如超出维修范围、因新增维修项目内容而增加维修费用的，要及时与报修单位联系沟通，协商确定，以避免不必要的投诉和纠纷。</w:t>
      </w:r>
      <w:r>
        <w:rPr>
          <w:rFonts w:ascii="仿宋_GB2312" w:hAnsi="仿宋_GB2312" w:eastAsia="仿宋_GB2312" w:cs="仿宋_GB2312"/>
          <w:sz w:val="28"/>
          <w:szCs w:val="28"/>
        </w:rPr>
        <w:br w:type="textWrapping"/>
      </w:r>
      <w:r>
        <w:rPr>
          <w:rFonts w:hint="eastAsia" w:ascii="仿宋_GB2312" w:hAnsi="仿宋_GB2312" w:eastAsia="仿宋_GB2312" w:cs="仿宋_GB2312"/>
          <w:szCs w:val="32"/>
        </w:rPr>
        <w:t>2.</w:t>
      </w:r>
      <w:r>
        <w:rPr>
          <w:rFonts w:hint="eastAsia" w:ascii="仿宋_GB2312" w:hAnsi="仿宋_GB2312" w:eastAsia="仿宋_GB2312" w:cs="仿宋_GB2312"/>
          <w:color w:val="333333"/>
          <w:spacing w:val="-3"/>
          <w:szCs w:val="32"/>
        </w:rPr>
        <w:t>维修保养服务预选</w:t>
      </w:r>
    </w:p>
    <w:tbl>
      <w:tblPr>
        <w:tblStyle w:val="8"/>
        <w:tblW w:w="8583" w:type="dxa"/>
        <w:tblInd w:w="287" w:type="dxa"/>
        <w:tblLayout w:type="fixed"/>
        <w:tblCellMar>
          <w:top w:w="0" w:type="dxa"/>
          <w:left w:w="108" w:type="dxa"/>
          <w:bottom w:w="0" w:type="dxa"/>
          <w:right w:w="108" w:type="dxa"/>
        </w:tblCellMar>
      </w:tblPr>
      <w:tblGrid>
        <w:gridCol w:w="866"/>
        <w:gridCol w:w="1500"/>
        <w:gridCol w:w="1283"/>
        <w:gridCol w:w="4934"/>
      </w:tblGrid>
      <w:tr w14:paraId="2763A0D6">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4B4996D8">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5FD605C4">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收费项目</w:t>
            </w:r>
          </w:p>
        </w:tc>
        <w:tc>
          <w:tcPr>
            <w:tcW w:w="1283" w:type="dxa"/>
            <w:tcBorders>
              <w:top w:val="single" w:color="auto" w:sz="4" w:space="0"/>
              <w:left w:val="single" w:color="auto" w:sz="4" w:space="0"/>
              <w:bottom w:val="single" w:color="auto" w:sz="4" w:space="0"/>
              <w:right w:val="single" w:color="auto" w:sz="4" w:space="0"/>
            </w:tcBorders>
            <w:vAlign w:val="center"/>
          </w:tcPr>
          <w:p w14:paraId="3EB6B53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4934" w:type="dxa"/>
            <w:tcBorders>
              <w:top w:val="single" w:color="auto" w:sz="4" w:space="0"/>
              <w:left w:val="single" w:color="auto" w:sz="4" w:space="0"/>
              <w:bottom w:val="single" w:color="auto" w:sz="4" w:space="0"/>
              <w:right w:val="single" w:color="auto" w:sz="4" w:space="0"/>
            </w:tcBorders>
            <w:vAlign w:val="center"/>
          </w:tcPr>
          <w:p w14:paraId="78F2FC7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1E1AE26">
        <w:tblPrEx>
          <w:tblCellMar>
            <w:top w:w="0" w:type="dxa"/>
            <w:left w:w="108" w:type="dxa"/>
            <w:bottom w:w="0" w:type="dxa"/>
            <w:right w:w="108" w:type="dxa"/>
          </w:tblCellMar>
        </w:tblPrEx>
        <w:trPr>
          <w:trHeight w:val="90" w:hRule="atLeast"/>
        </w:trPr>
        <w:tc>
          <w:tcPr>
            <w:tcW w:w="866" w:type="dxa"/>
            <w:tcBorders>
              <w:top w:val="nil"/>
              <w:left w:val="single" w:color="auto" w:sz="4" w:space="0"/>
              <w:bottom w:val="single" w:color="auto" w:sz="4" w:space="0"/>
              <w:right w:val="single" w:color="auto" w:sz="4" w:space="0"/>
            </w:tcBorders>
            <w:vAlign w:val="center"/>
          </w:tcPr>
          <w:p w14:paraId="055B7889">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Borders>
              <w:top w:val="nil"/>
              <w:left w:val="nil"/>
              <w:bottom w:val="single" w:color="auto" w:sz="4" w:space="0"/>
              <w:right w:val="single" w:color="auto" w:sz="4" w:space="0"/>
            </w:tcBorders>
            <w:vAlign w:val="center"/>
          </w:tcPr>
          <w:p w14:paraId="6080F393">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工时费</w:t>
            </w:r>
          </w:p>
        </w:tc>
        <w:tc>
          <w:tcPr>
            <w:tcW w:w="1283" w:type="dxa"/>
            <w:tcBorders>
              <w:top w:val="single" w:color="auto" w:sz="4" w:space="0"/>
              <w:left w:val="nil"/>
              <w:bottom w:val="single" w:color="auto" w:sz="4" w:space="0"/>
              <w:right w:val="single" w:color="auto" w:sz="4" w:space="0"/>
            </w:tcBorders>
            <w:vAlign w:val="center"/>
          </w:tcPr>
          <w:p w14:paraId="05328657">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元/小时</w:t>
            </w:r>
          </w:p>
        </w:tc>
        <w:tc>
          <w:tcPr>
            <w:tcW w:w="4934" w:type="dxa"/>
            <w:tcBorders>
              <w:top w:val="single" w:color="auto" w:sz="4" w:space="0"/>
              <w:left w:val="nil"/>
              <w:bottom w:val="single" w:color="auto" w:sz="4" w:space="0"/>
              <w:right w:val="single" w:color="auto" w:sz="4" w:space="0"/>
            </w:tcBorders>
            <w:vAlign w:val="center"/>
          </w:tcPr>
          <w:p w14:paraId="384D57F3">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所有维修类别工时费为统一价格，投标人工时费报价不得高于70元/小时，包含税费。</w:t>
            </w:r>
          </w:p>
        </w:tc>
      </w:tr>
      <w:tr w14:paraId="143DA85F">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2F9D1FBB">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00" w:type="dxa"/>
            <w:tcBorders>
              <w:top w:val="single" w:color="auto" w:sz="4" w:space="0"/>
              <w:left w:val="nil"/>
              <w:bottom w:val="single" w:color="auto" w:sz="4" w:space="0"/>
              <w:right w:val="single" w:color="auto" w:sz="4" w:space="0"/>
            </w:tcBorders>
            <w:vAlign w:val="center"/>
          </w:tcPr>
          <w:p w14:paraId="4C4D4884">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材料管理费</w:t>
            </w:r>
          </w:p>
          <w:p w14:paraId="5911767A">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加价比例 </w:t>
            </w:r>
          </w:p>
        </w:tc>
        <w:tc>
          <w:tcPr>
            <w:tcW w:w="1283" w:type="dxa"/>
            <w:tcBorders>
              <w:top w:val="single" w:color="auto" w:sz="4" w:space="0"/>
              <w:left w:val="nil"/>
              <w:bottom w:val="single" w:color="auto" w:sz="4" w:space="0"/>
              <w:right w:val="single" w:color="auto" w:sz="4" w:space="0"/>
            </w:tcBorders>
            <w:vAlign w:val="center"/>
          </w:tcPr>
          <w:p w14:paraId="02F780E0">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4934" w:type="dxa"/>
            <w:tcBorders>
              <w:top w:val="single" w:color="auto" w:sz="4" w:space="0"/>
              <w:left w:val="nil"/>
              <w:bottom w:val="single" w:color="auto" w:sz="4" w:space="0"/>
              <w:right w:val="single" w:color="auto" w:sz="4" w:space="0"/>
            </w:tcBorders>
            <w:vAlign w:val="center"/>
          </w:tcPr>
          <w:p w14:paraId="24EC17CA">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即在维修服务商零配件进货价基础上的加价比例填报，所有类别材料均按统一加价比例进行费用结算。</w:t>
            </w:r>
          </w:p>
        </w:tc>
      </w:tr>
      <w:tr w14:paraId="1E2B58ED">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22D42DF6">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00" w:type="dxa"/>
            <w:tcBorders>
              <w:top w:val="single" w:color="auto" w:sz="4" w:space="0"/>
              <w:left w:val="nil"/>
              <w:bottom w:val="single" w:color="auto" w:sz="4" w:space="0"/>
              <w:right w:val="single" w:color="auto" w:sz="4" w:space="0"/>
            </w:tcBorders>
            <w:vAlign w:val="center"/>
          </w:tcPr>
          <w:p w14:paraId="325B6106">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年审费用</w:t>
            </w:r>
          </w:p>
        </w:tc>
        <w:tc>
          <w:tcPr>
            <w:tcW w:w="1283" w:type="dxa"/>
            <w:tcBorders>
              <w:top w:val="single" w:color="auto" w:sz="4" w:space="0"/>
              <w:left w:val="nil"/>
              <w:bottom w:val="single" w:color="auto" w:sz="4" w:space="0"/>
              <w:right w:val="single" w:color="auto" w:sz="4" w:space="0"/>
            </w:tcBorders>
            <w:vAlign w:val="center"/>
          </w:tcPr>
          <w:p w14:paraId="10794B3F">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元/部</w:t>
            </w:r>
          </w:p>
        </w:tc>
        <w:tc>
          <w:tcPr>
            <w:tcW w:w="4934" w:type="dxa"/>
            <w:tcBorders>
              <w:top w:val="single" w:color="auto" w:sz="4" w:space="0"/>
              <w:left w:val="nil"/>
              <w:bottom w:val="single" w:color="auto" w:sz="4" w:space="0"/>
              <w:right w:val="single" w:color="auto" w:sz="4" w:space="0"/>
            </w:tcBorders>
            <w:vAlign w:val="center"/>
          </w:tcPr>
          <w:p w14:paraId="564495B0">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车辆年度检测费用，包含税费。</w:t>
            </w:r>
          </w:p>
        </w:tc>
      </w:tr>
      <w:tr w14:paraId="20281A9C">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356BDFA5">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00" w:type="dxa"/>
            <w:tcBorders>
              <w:top w:val="single" w:color="auto" w:sz="4" w:space="0"/>
              <w:left w:val="nil"/>
              <w:bottom w:val="single" w:color="auto" w:sz="4" w:space="0"/>
              <w:right w:val="single" w:color="auto" w:sz="4" w:space="0"/>
            </w:tcBorders>
            <w:vAlign w:val="center"/>
          </w:tcPr>
          <w:p w14:paraId="51F863C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救护车轮胎</w:t>
            </w:r>
          </w:p>
        </w:tc>
        <w:tc>
          <w:tcPr>
            <w:tcW w:w="1283" w:type="dxa"/>
            <w:tcBorders>
              <w:top w:val="single" w:color="auto" w:sz="4" w:space="0"/>
              <w:left w:val="nil"/>
              <w:bottom w:val="single" w:color="auto" w:sz="4" w:space="0"/>
              <w:right w:val="single" w:color="auto" w:sz="4" w:space="0"/>
            </w:tcBorders>
            <w:vAlign w:val="center"/>
          </w:tcPr>
          <w:p w14:paraId="35D2E279">
            <w:pPr>
              <w:spacing w:line="5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元/</w:t>
            </w:r>
            <w:r>
              <w:rPr>
                <w:rFonts w:hint="eastAsia" w:ascii="仿宋_GB2312" w:hAnsi="仿宋_GB2312" w:eastAsia="仿宋_GB2312" w:cs="仿宋_GB2312"/>
                <w:szCs w:val="21"/>
                <w:lang w:val="en-US" w:eastAsia="zh-CN"/>
              </w:rPr>
              <w:t>条</w:t>
            </w:r>
          </w:p>
        </w:tc>
        <w:tc>
          <w:tcPr>
            <w:tcW w:w="4934" w:type="dxa"/>
            <w:tcBorders>
              <w:top w:val="single" w:color="auto" w:sz="4" w:space="0"/>
              <w:left w:val="nil"/>
              <w:bottom w:val="single" w:color="auto" w:sz="4" w:space="0"/>
              <w:right w:val="single" w:color="auto" w:sz="4" w:space="0"/>
            </w:tcBorders>
            <w:vAlign w:val="center"/>
          </w:tcPr>
          <w:p w14:paraId="3F3FBFF5">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轮胎规格（原厂）玛吉斯235/65R16G 10PR  121/119N.包含税费（其他车型及型号参照序号2）</w:t>
            </w:r>
          </w:p>
        </w:tc>
      </w:tr>
      <w:tr w14:paraId="177930E6">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50A109F2">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00" w:type="dxa"/>
            <w:tcBorders>
              <w:top w:val="single" w:color="auto" w:sz="4" w:space="0"/>
              <w:left w:val="nil"/>
              <w:bottom w:val="single" w:color="auto" w:sz="4" w:space="0"/>
              <w:right w:val="single" w:color="auto" w:sz="4" w:space="0"/>
            </w:tcBorders>
            <w:vAlign w:val="center"/>
          </w:tcPr>
          <w:p w14:paraId="23DB0CDE">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车辆过户（资料更新）</w:t>
            </w:r>
          </w:p>
        </w:tc>
        <w:tc>
          <w:tcPr>
            <w:tcW w:w="1283" w:type="dxa"/>
            <w:tcBorders>
              <w:top w:val="single" w:color="auto" w:sz="4" w:space="0"/>
              <w:left w:val="nil"/>
              <w:bottom w:val="single" w:color="auto" w:sz="4" w:space="0"/>
              <w:right w:val="single" w:color="auto" w:sz="4" w:space="0"/>
            </w:tcBorders>
            <w:vAlign w:val="center"/>
          </w:tcPr>
          <w:p w14:paraId="7C1B0A57">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元/部</w:t>
            </w:r>
          </w:p>
        </w:tc>
        <w:tc>
          <w:tcPr>
            <w:tcW w:w="4934" w:type="dxa"/>
            <w:tcBorders>
              <w:top w:val="single" w:color="auto" w:sz="4" w:space="0"/>
              <w:left w:val="nil"/>
              <w:bottom w:val="single" w:color="auto" w:sz="4" w:space="0"/>
              <w:right w:val="single" w:color="auto" w:sz="4" w:space="0"/>
            </w:tcBorders>
            <w:vAlign w:val="center"/>
          </w:tcPr>
          <w:p w14:paraId="2C05C486">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包括车管所的所有手续及税费</w:t>
            </w:r>
          </w:p>
        </w:tc>
      </w:tr>
      <w:tr w14:paraId="3DEFCA28">
        <w:tblPrEx>
          <w:tblCellMar>
            <w:top w:w="0" w:type="dxa"/>
            <w:left w:w="108" w:type="dxa"/>
            <w:bottom w:w="0" w:type="dxa"/>
            <w:right w:w="108" w:type="dxa"/>
          </w:tblCellMar>
        </w:tblPrEx>
        <w:trPr>
          <w:trHeight w:val="1770" w:hRule="atLeast"/>
        </w:trPr>
        <w:tc>
          <w:tcPr>
            <w:tcW w:w="866" w:type="dxa"/>
            <w:tcBorders>
              <w:top w:val="single" w:color="auto" w:sz="4" w:space="0"/>
              <w:left w:val="single" w:color="auto" w:sz="4" w:space="0"/>
              <w:bottom w:val="single" w:color="auto" w:sz="4" w:space="0"/>
              <w:right w:val="single" w:color="auto" w:sz="4" w:space="0"/>
            </w:tcBorders>
            <w:vAlign w:val="center"/>
          </w:tcPr>
          <w:p w14:paraId="1F322B53">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00" w:type="dxa"/>
            <w:tcBorders>
              <w:top w:val="single" w:color="auto" w:sz="4" w:space="0"/>
              <w:left w:val="nil"/>
              <w:bottom w:val="single" w:color="auto" w:sz="4" w:space="0"/>
              <w:right w:val="single" w:color="auto" w:sz="4" w:space="0"/>
            </w:tcBorders>
            <w:vAlign w:val="center"/>
          </w:tcPr>
          <w:p w14:paraId="4F48B263">
            <w:pPr>
              <w:spacing w:line="560" w:lineRule="exact"/>
              <w:jc w:val="center"/>
              <w:rPr>
                <w:rFonts w:ascii="仿宋_GB2312" w:hAnsi="仿宋_GB2312" w:cs="仿宋_GB2312"/>
                <w:szCs w:val="21"/>
              </w:rPr>
            </w:pPr>
            <w:r>
              <w:rPr>
                <w:rFonts w:hint="eastAsia" w:ascii="仿宋_GB2312" w:hAnsi="仿宋_GB2312" w:eastAsia="仿宋_GB2312" w:cs="仿宋_GB2312"/>
                <w:szCs w:val="21"/>
              </w:rPr>
              <w:t>二级维护费（小型车辆及其他车辆）</w:t>
            </w:r>
          </w:p>
        </w:tc>
        <w:tc>
          <w:tcPr>
            <w:tcW w:w="1283" w:type="dxa"/>
            <w:tcBorders>
              <w:top w:val="single" w:color="auto" w:sz="4" w:space="0"/>
              <w:left w:val="nil"/>
              <w:bottom w:val="single" w:color="auto" w:sz="4" w:space="0"/>
              <w:right w:val="single" w:color="auto" w:sz="4" w:space="0"/>
            </w:tcBorders>
            <w:vAlign w:val="center"/>
          </w:tcPr>
          <w:p w14:paraId="5578BEBA">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元/次</w:t>
            </w:r>
          </w:p>
        </w:tc>
        <w:tc>
          <w:tcPr>
            <w:tcW w:w="4934" w:type="dxa"/>
            <w:tcBorders>
              <w:top w:val="single" w:color="auto" w:sz="4" w:space="0"/>
              <w:left w:val="nil"/>
              <w:bottom w:val="single" w:color="auto" w:sz="4" w:space="0"/>
              <w:right w:val="single" w:color="auto" w:sz="4" w:space="0"/>
            </w:tcBorders>
            <w:vAlign w:val="center"/>
          </w:tcPr>
          <w:p w14:paraId="60DA2DB3">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包括二级维护所有配件及税费</w:t>
            </w:r>
          </w:p>
        </w:tc>
      </w:tr>
      <w:tr w14:paraId="2FE7B517">
        <w:tblPrEx>
          <w:tblCellMar>
            <w:top w:w="0" w:type="dxa"/>
            <w:left w:w="108" w:type="dxa"/>
            <w:bottom w:w="0" w:type="dxa"/>
            <w:right w:w="108" w:type="dxa"/>
          </w:tblCellMar>
        </w:tblPrEx>
        <w:trPr>
          <w:trHeight w:val="2299" w:hRule="atLeast"/>
        </w:trPr>
        <w:tc>
          <w:tcPr>
            <w:tcW w:w="866" w:type="dxa"/>
            <w:tcBorders>
              <w:top w:val="single" w:color="auto" w:sz="4" w:space="0"/>
              <w:left w:val="single" w:color="auto" w:sz="4" w:space="0"/>
              <w:bottom w:val="single" w:color="auto" w:sz="4" w:space="0"/>
              <w:right w:val="single" w:color="auto" w:sz="4" w:space="0"/>
            </w:tcBorders>
            <w:vAlign w:val="center"/>
          </w:tcPr>
          <w:p w14:paraId="204AA585">
            <w:pPr>
              <w:spacing w:line="560" w:lineRule="exact"/>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500" w:type="dxa"/>
            <w:tcBorders>
              <w:top w:val="single" w:color="auto" w:sz="4" w:space="0"/>
              <w:left w:val="nil"/>
              <w:bottom w:val="single" w:color="auto" w:sz="4" w:space="0"/>
              <w:right w:val="single" w:color="auto" w:sz="4" w:space="0"/>
            </w:tcBorders>
            <w:vAlign w:val="center"/>
          </w:tcPr>
          <w:p w14:paraId="34296B17">
            <w:pPr>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二级维护费</w:t>
            </w:r>
          </w:p>
          <w:p w14:paraId="68643BC4">
            <w:pPr>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themeColor="text1"/>
                <w:szCs w:val="21"/>
              </w:rPr>
              <w:t>（负压车）</w:t>
            </w:r>
          </w:p>
          <w:p w14:paraId="11C85F8D">
            <w:pPr>
              <w:spacing w:line="560" w:lineRule="exact"/>
              <w:jc w:val="center"/>
              <w:rPr>
                <w:rFonts w:ascii="宋体" w:hAnsi="宋体"/>
                <w:color w:val="000000" w:themeColor="text1"/>
                <w:sz w:val="18"/>
                <w:szCs w:val="18"/>
              </w:rPr>
            </w:pPr>
            <w:r>
              <w:rPr>
                <w:rFonts w:hint="eastAsia" w:ascii="宋体" w:hAnsi="宋体"/>
                <w:color w:val="000000" w:themeColor="text1"/>
                <w:sz w:val="18"/>
                <w:szCs w:val="18"/>
              </w:rPr>
              <w:t>粤B39SW8</w:t>
            </w:r>
          </w:p>
          <w:p w14:paraId="27A411AD">
            <w:pPr>
              <w:spacing w:line="560" w:lineRule="exact"/>
              <w:jc w:val="center"/>
              <w:rPr>
                <w:rFonts w:hint="eastAsia" w:ascii="仿宋_GB2312" w:hAnsi="仿宋_GB2312" w:eastAsia="仿宋_GB2312" w:cs="仿宋_GB2312"/>
                <w:color w:val="000000" w:themeColor="text1"/>
                <w:szCs w:val="21"/>
              </w:rPr>
            </w:pPr>
            <w:r>
              <w:rPr>
                <w:rFonts w:hint="eastAsia" w:ascii="宋体" w:hAnsi="宋体"/>
                <w:color w:val="000000" w:themeColor="text1"/>
                <w:sz w:val="18"/>
                <w:szCs w:val="18"/>
              </w:rPr>
              <w:t>粤B93SK0</w:t>
            </w:r>
            <w:r>
              <w:rPr>
                <w:rFonts w:hint="eastAsia" w:ascii="仿宋_GB2312" w:hAnsi="仿宋_GB2312" w:eastAsia="仿宋_GB2312" w:cs="仿宋_GB2312"/>
                <w:color w:val="000000" w:themeColor="text1"/>
                <w:szCs w:val="21"/>
              </w:rPr>
              <w:t xml:space="preserve"> </w:t>
            </w:r>
          </w:p>
        </w:tc>
        <w:tc>
          <w:tcPr>
            <w:tcW w:w="1283" w:type="dxa"/>
            <w:tcBorders>
              <w:top w:val="single" w:color="auto" w:sz="4" w:space="0"/>
              <w:left w:val="nil"/>
              <w:bottom w:val="single" w:color="auto" w:sz="4" w:space="0"/>
              <w:right w:val="single" w:color="auto" w:sz="4" w:space="0"/>
            </w:tcBorders>
            <w:vAlign w:val="center"/>
          </w:tcPr>
          <w:p w14:paraId="56405966">
            <w:pPr>
              <w:spacing w:line="560" w:lineRule="exact"/>
              <w:rPr>
                <w:rFonts w:hint="eastAsia" w:ascii="仿宋_GB2312" w:hAnsi="仿宋_GB2312" w:eastAsia="仿宋_GB2312" w:cs="仿宋_GB2312"/>
                <w:szCs w:val="21"/>
              </w:rPr>
            </w:pPr>
            <w:r>
              <w:rPr>
                <w:rFonts w:hint="eastAsia" w:ascii="仿宋_GB2312" w:hAnsi="仿宋_GB2312" w:eastAsia="仿宋_GB2312" w:cs="仿宋_GB2312"/>
                <w:szCs w:val="21"/>
              </w:rPr>
              <w:t>元/次</w:t>
            </w:r>
          </w:p>
        </w:tc>
        <w:tc>
          <w:tcPr>
            <w:tcW w:w="4934" w:type="dxa"/>
            <w:tcBorders>
              <w:top w:val="single" w:color="auto" w:sz="4" w:space="0"/>
              <w:left w:val="nil"/>
              <w:bottom w:val="single" w:color="auto" w:sz="4" w:space="0"/>
              <w:right w:val="single" w:color="auto" w:sz="4" w:space="0"/>
            </w:tcBorders>
            <w:vAlign w:val="center"/>
          </w:tcPr>
          <w:p w14:paraId="353A5708">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包括二级维护所有配件及税费</w:t>
            </w:r>
          </w:p>
        </w:tc>
      </w:tr>
      <w:tr w14:paraId="42180BEB">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2C93900B">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00" w:type="dxa"/>
            <w:tcBorders>
              <w:top w:val="single" w:color="auto" w:sz="4" w:space="0"/>
              <w:left w:val="nil"/>
              <w:bottom w:val="single" w:color="auto" w:sz="4" w:space="0"/>
              <w:right w:val="single" w:color="auto" w:sz="4" w:space="0"/>
            </w:tcBorders>
            <w:vAlign w:val="center"/>
          </w:tcPr>
          <w:p w14:paraId="7872257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二级维护费（奔驰救护车</w:t>
            </w:r>
            <w:r>
              <w:rPr>
                <w:rFonts w:hint="eastAsia" w:ascii="仿宋_GB2312" w:hAnsi="仿宋_GB2312" w:eastAsia="仿宋_GB2312" w:cs="仿宋_GB2312"/>
                <w:color w:val="000000"/>
                <w:szCs w:val="21"/>
              </w:rPr>
              <w:t>粤B1V12V粤BG9Q82粤BE110X粤BA3E74）</w:t>
            </w:r>
          </w:p>
        </w:tc>
        <w:tc>
          <w:tcPr>
            <w:tcW w:w="1283" w:type="dxa"/>
            <w:tcBorders>
              <w:top w:val="single" w:color="auto" w:sz="4" w:space="0"/>
              <w:left w:val="nil"/>
              <w:bottom w:val="single" w:color="auto" w:sz="4" w:space="0"/>
              <w:right w:val="single" w:color="auto" w:sz="4" w:space="0"/>
            </w:tcBorders>
            <w:vAlign w:val="center"/>
          </w:tcPr>
          <w:p w14:paraId="7C4CDDE9">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元/次</w:t>
            </w:r>
          </w:p>
        </w:tc>
        <w:tc>
          <w:tcPr>
            <w:tcW w:w="4934" w:type="dxa"/>
            <w:tcBorders>
              <w:top w:val="single" w:color="auto" w:sz="4" w:space="0"/>
              <w:left w:val="nil"/>
              <w:bottom w:val="single" w:color="auto" w:sz="4" w:space="0"/>
              <w:right w:val="single" w:color="auto" w:sz="4" w:space="0"/>
            </w:tcBorders>
            <w:vAlign w:val="center"/>
          </w:tcPr>
          <w:p w14:paraId="091C96A4">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包括二级维护所有配件及税费</w:t>
            </w:r>
          </w:p>
        </w:tc>
      </w:tr>
      <w:tr w14:paraId="15DADD31">
        <w:tblPrEx>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14:paraId="31A6DE36">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00" w:type="dxa"/>
            <w:tcBorders>
              <w:top w:val="single" w:color="auto" w:sz="4" w:space="0"/>
              <w:left w:val="nil"/>
              <w:bottom w:val="single" w:color="auto" w:sz="4" w:space="0"/>
              <w:right w:val="single" w:color="auto" w:sz="4" w:space="0"/>
            </w:tcBorders>
            <w:vAlign w:val="center"/>
          </w:tcPr>
          <w:p w14:paraId="258DF71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发动机大修费（奔驰救护车</w:t>
            </w:r>
            <w:r>
              <w:rPr>
                <w:rFonts w:hint="eastAsia" w:ascii="仿宋_GB2312" w:hAnsi="仿宋_GB2312" w:eastAsia="仿宋_GB2312" w:cs="仿宋_GB2312"/>
                <w:color w:val="000000"/>
                <w:szCs w:val="21"/>
              </w:rPr>
              <w:t>粤B1V12V/粤BG9Q82/粤BE110X/粤BA3E74）</w:t>
            </w:r>
          </w:p>
        </w:tc>
        <w:tc>
          <w:tcPr>
            <w:tcW w:w="1283" w:type="dxa"/>
            <w:tcBorders>
              <w:top w:val="single" w:color="auto" w:sz="4" w:space="0"/>
              <w:left w:val="nil"/>
              <w:bottom w:val="single" w:color="auto" w:sz="4" w:space="0"/>
              <w:right w:val="single" w:color="auto" w:sz="4" w:space="0"/>
            </w:tcBorders>
            <w:vAlign w:val="center"/>
          </w:tcPr>
          <w:p w14:paraId="0A2812DA">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元/次</w:t>
            </w:r>
          </w:p>
        </w:tc>
        <w:tc>
          <w:tcPr>
            <w:tcW w:w="4934" w:type="dxa"/>
            <w:tcBorders>
              <w:top w:val="single" w:color="auto" w:sz="4" w:space="0"/>
              <w:left w:val="nil"/>
              <w:bottom w:val="single" w:color="auto" w:sz="4" w:space="0"/>
              <w:right w:val="single" w:color="auto" w:sz="4" w:space="0"/>
            </w:tcBorders>
            <w:vAlign w:val="center"/>
          </w:tcPr>
          <w:p w14:paraId="4AEDB7D8">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包括发动机大修所有配件及税费</w:t>
            </w:r>
          </w:p>
        </w:tc>
      </w:tr>
    </w:tbl>
    <w:p w14:paraId="3BA33E08">
      <w:pPr>
        <w:spacing w:before="24" w:line="262" w:lineRule="auto"/>
        <w:ind w:left="85"/>
        <w:jc w:val="left"/>
        <w:rPr>
          <w:rFonts w:ascii="宋体" w:hAnsi="宋体" w:eastAsia="宋体" w:cs="宋体"/>
          <w:spacing w:val="5"/>
          <w:sz w:val="22"/>
        </w:rPr>
      </w:pPr>
    </w:p>
    <w:p w14:paraId="2055CC20">
      <w:pPr>
        <w:spacing w:before="24" w:line="262" w:lineRule="auto"/>
        <w:ind w:left="85"/>
        <w:jc w:val="left"/>
        <w:rPr>
          <w:rFonts w:ascii="宋体" w:hAnsi="宋体" w:eastAsia="宋体" w:cs="宋体"/>
          <w:color w:val="FF0000"/>
          <w:spacing w:val="5"/>
          <w:sz w:val="22"/>
          <w:highlight w:val="yellow"/>
        </w:rPr>
      </w:pPr>
      <w:r>
        <w:rPr>
          <w:rFonts w:hint="eastAsia" w:ascii="宋体" w:hAnsi="宋体" w:eastAsia="宋体" w:cs="宋体"/>
          <w:color w:val="FF0000"/>
          <w:spacing w:val="5"/>
          <w:sz w:val="22"/>
          <w:highlight w:val="yellow"/>
        </w:rPr>
        <w:t>说明：</w:t>
      </w:r>
    </w:p>
    <w:p w14:paraId="6A8ABBB7">
      <w:pPr>
        <w:spacing w:before="24" w:line="262" w:lineRule="auto"/>
        <w:ind w:left="85"/>
        <w:jc w:val="left"/>
        <w:rPr>
          <w:rFonts w:ascii="宋体" w:hAnsi="宋体" w:eastAsia="宋体" w:cs="宋体"/>
          <w:color w:val="FF0000"/>
          <w:spacing w:val="5"/>
          <w:sz w:val="22"/>
          <w:highlight w:val="yellow"/>
        </w:rPr>
      </w:pPr>
      <w:r>
        <w:rPr>
          <w:rFonts w:hint="eastAsia" w:ascii="宋体" w:hAnsi="宋体" w:eastAsia="宋体" w:cs="宋体"/>
          <w:color w:val="FF0000"/>
          <w:spacing w:val="5"/>
          <w:sz w:val="22"/>
          <w:highlight w:val="yellow"/>
        </w:rPr>
        <w:t>1.所有价格应按“招标文件” 中规定的货币单位填写；</w:t>
      </w:r>
    </w:p>
    <w:p w14:paraId="5CEB4B1C">
      <w:pPr>
        <w:spacing w:before="24" w:line="262" w:lineRule="auto"/>
        <w:ind w:left="85"/>
        <w:jc w:val="left"/>
        <w:rPr>
          <w:rFonts w:ascii="宋体" w:hAnsi="宋体" w:eastAsia="宋体" w:cs="宋体"/>
          <w:color w:val="FF0000"/>
          <w:spacing w:val="5"/>
          <w:sz w:val="22"/>
          <w:highlight w:val="yellow"/>
        </w:rPr>
      </w:pPr>
      <w:r>
        <w:rPr>
          <w:rFonts w:hint="eastAsia" w:ascii="宋体" w:hAnsi="宋体" w:eastAsia="宋体" w:cs="宋体"/>
          <w:color w:val="FF0000"/>
          <w:spacing w:val="5"/>
          <w:sz w:val="22"/>
          <w:highlight w:val="yellow"/>
        </w:rPr>
        <w:t>2.结算价（增值税发票）=工时单价*工时定额＋材料费*（1＋材料管理费率）＋其它（工时定额参照《深圳市 汽车维修工时定额》执行）；</w:t>
      </w:r>
    </w:p>
    <w:p w14:paraId="6B96E5ED">
      <w:pPr>
        <w:spacing w:before="24" w:line="262" w:lineRule="auto"/>
        <w:ind w:left="85"/>
        <w:jc w:val="left"/>
        <w:rPr>
          <w:rFonts w:ascii="宋体" w:hAnsi="宋体" w:eastAsia="宋体" w:cs="宋体"/>
          <w:color w:val="FF0000"/>
          <w:spacing w:val="5"/>
          <w:sz w:val="22"/>
          <w:highlight w:val="yellow"/>
        </w:rPr>
      </w:pPr>
      <w:r>
        <w:rPr>
          <w:rFonts w:hint="eastAsia" w:ascii="宋体" w:hAnsi="宋体" w:eastAsia="宋体" w:cs="宋体"/>
          <w:color w:val="FF0000"/>
          <w:spacing w:val="5"/>
          <w:sz w:val="22"/>
          <w:highlight w:val="yellow"/>
        </w:rPr>
        <w:t>3.根据招标方车型各种零配件及辅助材料报价。</w:t>
      </w:r>
    </w:p>
    <w:p w14:paraId="19F6C7BD">
      <w:pPr>
        <w:pStyle w:val="13"/>
        <w:widowControl/>
        <w:spacing w:line="360" w:lineRule="auto"/>
        <w:ind w:left="0" w:firstLine="0"/>
        <w:jc w:val="left"/>
        <w:rPr>
          <w:rFonts w:ascii="宋体" w:hAnsi="宋体" w:eastAsia="宋体" w:cs="宋体"/>
          <w:color w:val="FF0000"/>
          <w:spacing w:val="5"/>
          <w:sz w:val="22"/>
          <w:szCs w:val="22"/>
          <w:highlight w:val="yellow"/>
        </w:rPr>
      </w:pPr>
      <w:r>
        <w:rPr>
          <w:rFonts w:hint="eastAsia" w:ascii="宋体" w:hAnsi="宋体" w:eastAsia="宋体" w:cs="宋体"/>
          <w:color w:val="FF0000"/>
          <w:spacing w:val="5"/>
          <w:sz w:val="22"/>
          <w:szCs w:val="22"/>
          <w:highlight w:val="yellow"/>
        </w:rPr>
        <w:t>4.工时费单价控制单价为70元/工时，材料管理费率控制单价为 15%以内 。投标人的投标单价高于控制单价为无效投标。</w:t>
      </w:r>
    </w:p>
    <w:p w14:paraId="3BAA9F5A">
      <w:pPr>
        <w:pStyle w:val="13"/>
        <w:widowControl/>
        <w:spacing w:line="360" w:lineRule="auto"/>
        <w:ind w:left="985" w:firstLine="0"/>
        <w:jc w:val="left"/>
        <w:rPr>
          <w:rFonts w:ascii="仿宋_GB2312" w:hAnsi="仿宋_GB2312" w:eastAsia="仿宋_GB2312" w:cs="仿宋_GB2312"/>
          <w:spacing w:val="5"/>
          <w:szCs w:val="32"/>
        </w:rPr>
      </w:pPr>
      <w:r>
        <w:rPr>
          <w:rFonts w:hint="eastAsia" w:ascii="仿宋_GB2312" w:hAnsi="仿宋_GB2312" w:eastAsia="仿宋_GB2312" w:cs="仿宋_GB2312"/>
          <w:spacing w:val="5"/>
          <w:szCs w:val="32"/>
        </w:rPr>
        <w:t>3.公务车汇总表</w:t>
      </w:r>
    </w:p>
    <w:tbl>
      <w:tblPr>
        <w:tblStyle w:val="8"/>
        <w:tblW w:w="9495" w:type="dxa"/>
        <w:tblInd w:w="93" w:type="dxa"/>
        <w:tblLayout w:type="autofit"/>
        <w:tblCellMar>
          <w:top w:w="0" w:type="dxa"/>
          <w:left w:w="108" w:type="dxa"/>
          <w:bottom w:w="0" w:type="dxa"/>
          <w:right w:w="108" w:type="dxa"/>
        </w:tblCellMar>
      </w:tblPr>
      <w:tblGrid>
        <w:gridCol w:w="465"/>
        <w:gridCol w:w="1350"/>
        <w:gridCol w:w="735"/>
        <w:gridCol w:w="975"/>
        <w:gridCol w:w="1560"/>
        <w:gridCol w:w="810"/>
        <w:gridCol w:w="960"/>
        <w:gridCol w:w="1305"/>
        <w:gridCol w:w="1335"/>
      </w:tblGrid>
      <w:tr w14:paraId="7317680D">
        <w:trPr>
          <w:trHeight w:val="7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4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49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车牌号码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2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车辆类型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C4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车辆品牌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3F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发动机号码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34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排气量（升）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02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行驶里程（万公里）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A8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注册日期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2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车辆用途</w:t>
            </w:r>
          </w:p>
        </w:tc>
      </w:tr>
      <w:tr w14:paraId="778D6ED3">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22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F2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粤BB13658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E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小汽车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65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比亚迪</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80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2V2048506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0B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F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B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2022-12-1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E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机要通信车</w:t>
            </w:r>
          </w:p>
        </w:tc>
      </w:tr>
      <w:tr w14:paraId="42ACAB94">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89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7B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粤BAY0289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0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小汽车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C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埃安牌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9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A1203N6192500W</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2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6A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63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2022-12-1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A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综合保障业务用车</w:t>
            </w:r>
          </w:p>
        </w:tc>
      </w:tr>
      <w:tr w14:paraId="7BAF3776">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0B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27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粤B39SW8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4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28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北地奔驰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32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M9G067981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2D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B7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C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2021-12-14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3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一线救护车</w:t>
            </w:r>
          </w:p>
        </w:tc>
      </w:tr>
      <w:tr w14:paraId="35CBA076">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4B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3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粤B3Q86Y</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7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E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广客牌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C3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80440620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1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83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10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2017-3-17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C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非在网救护车</w:t>
            </w:r>
          </w:p>
        </w:tc>
      </w:tr>
      <w:tr w14:paraId="32E03382">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E6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E2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粤B85NY0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50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商务车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6F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广汽传祺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0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K288451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36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0B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4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2023-12-22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61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综合保障业务用车</w:t>
            </w:r>
          </w:p>
        </w:tc>
      </w:tr>
      <w:tr w14:paraId="1EAF63AE">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0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C8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粤BS120K</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C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CE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江铃全顺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1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SGP4099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93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F6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2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2009-3-30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C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非在网救护车</w:t>
            </w:r>
          </w:p>
        </w:tc>
      </w:tr>
      <w:tr w14:paraId="200063CB">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7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6F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粤B453L9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D7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面包车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F9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沈阳金杯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A6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8229512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69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57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B1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2010-3-5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C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综合保障业务用车</w:t>
            </w:r>
          </w:p>
        </w:tc>
      </w:tr>
      <w:tr w14:paraId="0B287C27">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49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4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粤BE1Q60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94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小汽车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F8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一汽迈腾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FC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241545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17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A6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AB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2011-5-7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E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综合保障业务用车</w:t>
            </w:r>
          </w:p>
        </w:tc>
      </w:tr>
      <w:tr w14:paraId="557A9C0E">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A3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FD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粤BA3E74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F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8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北地奔驰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35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27297931797351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8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8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03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2011-7-7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F7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非在网救护车</w:t>
            </w:r>
          </w:p>
        </w:tc>
      </w:tr>
      <w:tr w14:paraId="4FEE891C">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3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3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粤BG9Q82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7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6C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北地奔驰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F7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27297931864379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68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6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C8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2011-8-3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04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一线救护车</w:t>
            </w:r>
          </w:p>
        </w:tc>
      </w:tr>
      <w:tr w14:paraId="08DBF15D">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35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99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粤B1H12V</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FD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8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北地奔驰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FD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33684343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63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8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E0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2018-12-21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E7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一线救护车</w:t>
            </w:r>
          </w:p>
        </w:tc>
      </w:tr>
      <w:tr w14:paraId="0B4271E5">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C2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24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粤BE110X</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1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7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北地奔驰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98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33618640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EC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67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5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2018-12-21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99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一线救护车</w:t>
            </w:r>
          </w:p>
        </w:tc>
      </w:tr>
      <w:tr w14:paraId="23B60324">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CF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94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粤B93SK0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D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78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北地奔驰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71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M9G068263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72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F1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60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2021-12-14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9F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一线救护车</w:t>
            </w:r>
          </w:p>
        </w:tc>
      </w:tr>
    </w:tbl>
    <w:p w14:paraId="13350B9D">
      <w:pPr>
        <w:pStyle w:val="13"/>
        <w:widowControl/>
        <w:spacing w:line="360" w:lineRule="auto"/>
        <w:ind w:left="0" w:firstLine="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（三）项目属性</w:t>
      </w:r>
      <w:r>
        <w:rPr>
          <w:rFonts w:hint="eastAsia" w:ascii="仿宋_GB2312" w:hAnsi="仿宋_GB2312" w:eastAsia="仿宋_GB2312" w:cs="仿宋_GB2312"/>
          <w:sz w:val="28"/>
          <w:szCs w:val="28"/>
        </w:rPr>
        <w:t>：</w:t>
      </w:r>
    </w:p>
    <w:p w14:paraId="5231AA0C">
      <w:pPr>
        <w:numPr>
          <w:ilvl w:val="0"/>
          <w:numId w:val="5"/>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7AC4CE87">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□是         </w:t>
      </w:r>
      <w:r>
        <w:rPr>
          <w:rFonts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2.是否接受联合体投标</w:t>
      </w:r>
      <w:r>
        <w:rPr>
          <w:rFonts w:hint="eastAsia" w:ascii="仿宋_GB2312" w:hAnsi="仿宋_GB2312" w:eastAsia="仿宋_GB2312" w:cs="仿宋_GB2312"/>
          <w:sz w:val="28"/>
          <w:szCs w:val="28"/>
        </w:rPr>
        <w:t>：否</w:t>
      </w:r>
      <w:r>
        <w:rPr>
          <w:rFonts w:ascii="仿宋_GB2312" w:hAnsi="仿宋_GB2312" w:eastAsia="仿宋_GB2312" w:cs="仿宋_GB2312"/>
          <w:sz w:val="28"/>
          <w:szCs w:val="28"/>
        </w:rPr>
        <w:br w:type="textWrapping"/>
      </w:r>
      <w:r>
        <w:rPr>
          <w:rFonts w:hint="eastAsia" w:ascii="仿宋" w:hAnsi="仿宋" w:eastAsia="仿宋"/>
          <w:b/>
          <w:bCs/>
          <w:sz w:val="36"/>
          <w:szCs w:val="32"/>
        </w:rPr>
        <w:t>（</w:t>
      </w:r>
      <w:r>
        <w:rPr>
          <w:rFonts w:hint="eastAsia" w:ascii="仿宋_GB2312" w:hAnsi="仿宋_GB2312" w:eastAsia="仿宋_GB2312" w:cs="仿宋_GB2312"/>
          <w:b/>
          <w:bCs/>
          <w:sz w:val="32"/>
          <w:szCs w:val="28"/>
        </w:rPr>
        <w:t>四）采购标的车辆汇总表：</w:t>
      </w:r>
    </w:p>
    <w:tbl>
      <w:tblPr>
        <w:tblStyle w:val="8"/>
        <w:tblW w:w="7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tblGrid>
      <w:tr w14:paraId="6FB1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1F93622A">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kern w:val="0"/>
                <w:sz w:val="28"/>
                <w:szCs w:val="28"/>
              </w:rPr>
              <w:t>名称</w:t>
            </w:r>
          </w:p>
        </w:tc>
        <w:tc>
          <w:tcPr>
            <w:tcW w:w="2331" w:type="dxa"/>
            <w:shd w:val="clear" w:color="auto" w:fill="FFFFFF"/>
            <w:tcMar>
              <w:top w:w="0" w:type="dxa"/>
              <w:right w:w="0" w:type="dxa"/>
            </w:tcMar>
            <w:vAlign w:val="center"/>
          </w:tcPr>
          <w:p w14:paraId="61147C04">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品目 （政府采购品目分类目录）</w:t>
            </w:r>
          </w:p>
        </w:tc>
        <w:tc>
          <w:tcPr>
            <w:tcW w:w="1601" w:type="dxa"/>
            <w:shd w:val="clear" w:color="auto" w:fill="FFFFFF"/>
            <w:tcMar>
              <w:top w:w="0" w:type="dxa"/>
              <w:right w:w="0" w:type="dxa"/>
            </w:tcMar>
            <w:vAlign w:val="center"/>
          </w:tcPr>
          <w:p w14:paraId="6A6699F1">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计量单位</w:t>
            </w:r>
          </w:p>
        </w:tc>
        <w:tc>
          <w:tcPr>
            <w:tcW w:w="968" w:type="dxa"/>
            <w:shd w:val="clear" w:color="auto" w:fill="FFFFFF"/>
            <w:vAlign w:val="center"/>
          </w:tcPr>
          <w:p w14:paraId="7184F065">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数量</w:t>
            </w:r>
          </w:p>
        </w:tc>
        <w:tc>
          <w:tcPr>
            <w:tcW w:w="1200" w:type="dxa"/>
            <w:shd w:val="clear" w:color="auto" w:fill="FFFFFF"/>
            <w:vAlign w:val="center"/>
          </w:tcPr>
          <w:p w14:paraId="2BD0B258">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总预算（元）</w:t>
            </w:r>
          </w:p>
        </w:tc>
      </w:tr>
      <w:tr w14:paraId="091A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0305C50A">
            <w:pPr>
              <w:autoSpaceDE w:val="0"/>
              <w:autoSpaceDN w:val="0"/>
              <w:adjustRightInd w:val="0"/>
              <w:jc w:val="center"/>
              <w:rPr>
                <w:rFonts w:ascii="仿宋_GB2312" w:hAnsi="仿宋_GB2312" w:eastAsia="仿宋_GB2312" w:cs="仿宋_GB2312"/>
                <w:color w:val="5E6B87"/>
                <w:kern w:val="0"/>
                <w:sz w:val="28"/>
                <w:szCs w:val="28"/>
              </w:rPr>
            </w:pPr>
            <w:r>
              <w:rPr>
                <w:rFonts w:hint="eastAsia" w:ascii="仿宋_GB2312" w:hAnsi="仿宋_GB2312" w:eastAsia="仿宋_GB2312" w:cs="仿宋_GB2312"/>
                <w:color w:val="5E6B87"/>
                <w:kern w:val="0"/>
                <w:sz w:val="28"/>
                <w:szCs w:val="28"/>
              </w:rPr>
              <w:t>公务车辆维修服务</w:t>
            </w:r>
          </w:p>
        </w:tc>
        <w:tc>
          <w:tcPr>
            <w:tcW w:w="2331" w:type="dxa"/>
            <w:shd w:val="clear" w:color="auto" w:fill="FFFFFF"/>
            <w:tcMar>
              <w:top w:w="0" w:type="dxa"/>
              <w:right w:w="0" w:type="dxa"/>
            </w:tcMar>
            <w:vAlign w:val="center"/>
          </w:tcPr>
          <w:p w14:paraId="346032A7">
            <w:pPr>
              <w:autoSpaceDE w:val="0"/>
              <w:autoSpaceDN w:val="0"/>
              <w:adjustRightInd w:val="0"/>
              <w:jc w:val="center"/>
              <w:rPr>
                <w:rFonts w:ascii="仿宋_GB2312" w:hAnsi="仿宋_GB2312" w:eastAsia="仿宋_GB2312" w:cs="仿宋_GB2312"/>
                <w:color w:val="5E6B87"/>
                <w:kern w:val="0"/>
                <w:sz w:val="28"/>
                <w:szCs w:val="28"/>
              </w:rPr>
            </w:pPr>
            <w:r>
              <w:rPr>
                <w:rFonts w:ascii="仿宋_GB2312" w:hAnsi="仿宋_GB2312" w:eastAsia="仿宋_GB2312" w:cs="仿宋_GB2312"/>
                <w:color w:val="5E6B87"/>
                <w:kern w:val="0"/>
                <w:sz w:val="28"/>
                <w:szCs w:val="28"/>
              </w:rPr>
              <w:t>维修服务</w:t>
            </w:r>
          </w:p>
        </w:tc>
        <w:tc>
          <w:tcPr>
            <w:tcW w:w="1601" w:type="dxa"/>
            <w:shd w:val="clear" w:color="auto" w:fill="FFFFFF"/>
            <w:tcMar>
              <w:top w:w="0" w:type="dxa"/>
              <w:right w:w="0" w:type="dxa"/>
            </w:tcMar>
            <w:vAlign w:val="center"/>
          </w:tcPr>
          <w:p w14:paraId="630DD46F">
            <w:pPr>
              <w:autoSpaceDE w:val="0"/>
              <w:autoSpaceDN w:val="0"/>
              <w:adjustRightInd w:val="0"/>
              <w:jc w:val="center"/>
              <w:rPr>
                <w:rFonts w:ascii="仿宋_GB2312" w:hAnsi="仿宋_GB2312" w:eastAsia="仿宋_GB2312" w:cs="仿宋_GB2312"/>
                <w:color w:val="5E6B87"/>
                <w:kern w:val="0"/>
                <w:sz w:val="28"/>
                <w:szCs w:val="28"/>
              </w:rPr>
            </w:pPr>
            <w:r>
              <w:rPr>
                <w:rFonts w:hint="eastAsia" w:ascii="仿宋_GB2312" w:hAnsi="仿宋_GB2312" w:eastAsia="仿宋_GB2312" w:cs="仿宋_GB2312"/>
                <w:color w:val="5E6B87"/>
                <w:kern w:val="0"/>
                <w:sz w:val="28"/>
                <w:szCs w:val="28"/>
              </w:rPr>
              <w:t>年</w:t>
            </w:r>
          </w:p>
        </w:tc>
        <w:tc>
          <w:tcPr>
            <w:tcW w:w="968" w:type="dxa"/>
            <w:shd w:val="clear" w:color="auto" w:fill="FFFFFF"/>
            <w:vAlign w:val="center"/>
          </w:tcPr>
          <w:p w14:paraId="6C77A315">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1200" w:type="dxa"/>
            <w:shd w:val="clear" w:color="auto" w:fill="FFFFFF"/>
            <w:vAlign w:val="center"/>
          </w:tcPr>
          <w:p w14:paraId="01907CE9">
            <w:pPr>
              <w:autoSpaceDE w:val="0"/>
              <w:autoSpaceDN w:val="0"/>
              <w:adjustRightInd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220000</w:t>
            </w:r>
          </w:p>
        </w:tc>
      </w:tr>
    </w:tbl>
    <w:p w14:paraId="01F5B394">
      <w:pPr>
        <w:pStyle w:val="3"/>
        <w:spacing w:line="240" w:lineRule="auto"/>
        <w:ind w:left="420" w:leftChars="200"/>
        <w:rPr>
          <w:rFonts w:ascii="仿宋_GB2312" w:hAnsi="仿宋_GB2312" w:eastAsia="仿宋_GB2312" w:cs="仿宋_GB2312"/>
          <w:b w:val="0"/>
          <w:bCs/>
          <w:sz w:val="32"/>
          <w:szCs w:val="32"/>
        </w:rPr>
      </w:pPr>
      <w:r>
        <w:rPr>
          <w:rFonts w:hint="eastAsia" w:ascii="仿宋_GB2312" w:hAnsi="仿宋_GB2312" w:eastAsia="仿宋_GB2312" w:cs="仿宋_GB2312"/>
          <w:bCs/>
          <w:szCs w:val="28"/>
        </w:rPr>
        <w:t>（五）按照规定及项目情况设置投标供应商资格要求：</w:t>
      </w:r>
    </w:p>
    <w:p w14:paraId="1CE98463">
      <w:pPr>
        <w:pStyle w:val="3"/>
        <w:numPr>
          <w:ilvl w:val="0"/>
          <w:numId w:val="6"/>
        </w:numPr>
        <w:spacing w:line="240" w:lineRule="auto"/>
        <w:ind w:firstLine="64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投标人必须具有独立法人资格或是具有独立承担民事责任能力的其它组织（提供《营业执照》扫描件，原件备查）；</w:t>
      </w:r>
    </w:p>
    <w:p w14:paraId="4DBAE77A">
      <w:pPr>
        <w:pStyle w:val="3"/>
        <w:numPr>
          <w:ilvl w:val="0"/>
          <w:numId w:val="6"/>
        </w:numPr>
        <w:spacing w:line="240" w:lineRule="auto"/>
        <w:ind w:firstLine="64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投标人必须具有合法汽车维修资质二类及以上汽车维修企业（提供交通主管部门颁发的相关证明材料）</w:t>
      </w:r>
    </w:p>
    <w:p w14:paraId="2DDCF8F7">
      <w:pPr>
        <w:pStyle w:val="3"/>
        <w:numPr>
          <w:ilvl w:val="0"/>
          <w:numId w:val="6"/>
        </w:numPr>
        <w:spacing w:line="240" w:lineRule="auto"/>
        <w:ind w:firstLine="64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投标人必须在交通运输主管部门组织的年度质量信誉考核中获得AA及以上等级（提供过往年度交通部门或者汽车维修行业协会考核证明材料）</w:t>
      </w:r>
    </w:p>
    <w:p w14:paraId="042A424E">
      <w:pPr>
        <w:pStyle w:val="3"/>
        <w:numPr>
          <w:ilvl w:val="0"/>
          <w:numId w:val="6"/>
        </w:numPr>
        <w:spacing w:line="240" w:lineRule="auto"/>
        <w:ind w:firstLine="64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参与本项目投标前三年内(如公司成立不足3年，自成立之日起算)在经营活动中无重大违法犯罪记录和不存在处于被禁止参与政府采购活动期限内情形的书面声明（提供书面声明函）；</w:t>
      </w:r>
    </w:p>
    <w:p w14:paraId="79F08E67">
      <w:pPr>
        <w:pStyle w:val="3"/>
        <w:numPr>
          <w:ilvl w:val="0"/>
          <w:numId w:val="6"/>
        </w:numPr>
        <w:spacing w:line="240" w:lineRule="auto"/>
        <w:ind w:firstLine="64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本项目不接受联合体投标。</w:t>
      </w:r>
    </w:p>
    <w:p w14:paraId="6CA218DD">
      <w:pPr>
        <w:rPr>
          <w:b/>
          <w:bCs/>
        </w:rPr>
      </w:pPr>
      <w:r>
        <w:rPr>
          <w:b/>
          <w:bCs/>
        </w:rPr>
        <w:br w:type="textWrapping"/>
      </w:r>
      <w:r>
        <w:rPr>
          <w:rFonts w:hint="eastAsia" w:ascii="仿宋_GB2312" w:hAnsi="仿宋_GB2312" w:eastAsia="仿宋_GB2312" w:cs="仿宋_GB2312"/>
          <w:b/>
          <w:sz w:val="28"/>
          <w:szCs w:val="28"/>
        </w:rPr>
        <w:t>（六）商务要求</w:t>
      </w:r>
      <w:r>
        <w:rPr>
          <w:rFonts w:hint="eastAsia" w:ascii="仿宋_GB2312" w:hAnsi="仿宋_GB2312" w:eastAsia="仿宋_GB2312" w:cs="仿宋_GB2312"/>
          <w:sz w:val="28"/>
          <w:szCs w:val="28"/>
        </w:rPr>
        <w:t>：</w:t>
      </w:r>
    </w:p>
    <w:p w14:paraId="34D8DF2E">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sz w:val="28"/>
          <w:szCs w:val="28"/>
        </w:rPr>
        <w:t>服务期（天）：365 。</w:t>
      </w:r>
    </w:p>
    <w:p w14:paraId="7A04A64A">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sz w:val="28"/>
          <w:szCs w:val="28"/>
        </w:rPr>
        <w:t>地点：深圳市前海蛇口自贸区医院。</w:t>
      </w:r>
    </w:p>
    <w:p w14:paraId="1900C423">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ascii="仿宋_GB2312" w:hAnsi="仿宋_GB2312" w:eastAsia="仿宋_GB2312" w:cs="仿宋_GB2312"/>
          <w:sz w:val="28"/>
          <w:szCs w:val="28"/>
        </w:rPr>
        <w:t>1．乙方应在交接完工车辆时按月将“结算单”交予甲方。</w:t>
      </w:r>
    </w:p>
    <w:p w14:paraId="643D356C">
      <w:pPr>
        <w:ind w:left="425"/>
        <w:rPr>
          <w:rFonts w:ascii="仿宋_GB2312" w:hAnsi="仿宋_GB2312" w:eastAsia="仿宋_GB2312" w:cs="仿宋_GB2312"/>
          <w:sz w:val="28"/>
          <w:szCs w:val="28"/>
        </w:rPr>
      </w:pPr>
      <w:r>
        <w:rPr>
          <w:rFonts w:ascii="仿宋_GB2312" w:hAnsi="仿宋_GB2312" w:eastAsia="仿宋_GB2312" w:cs="仿宋_GB2312"/>
          <w:sz w:val="28"/>
          <w:szCs w:val="28"/>
        </w:rPr>
        <w:t>2．甲方司机或车辆负责人应仔细检查完工车辆，如发现问题应立即以口头形式向乙方提出，如无问题应在“结算单”上签字认可，但甲方司机或车辆负责人以上签字行为不排除乙方履行本合同第二条之（七）质量保证义务。</w:t>
      </w:r>
    </w:p>
    <w:p w14:paraId="5178846A">
      <w:pPr>
        <w:ind w:left="425"/>
        <w:rPr>
          <w:rFonts w:ascii="仿宋_GB2312" w:hAnsi="仿宋_GB2312" w:eastAsia="仿宋_GB2312" w:cs="仿宋_GB2312"/>
          <w:sz w:val="28"/>
          <w:szCs w:val="28"/>
        </w:rPr>
      </w:pPr>
      <w:r>
        <w:rPr>
          <w:rFonts w:ascii="仿宋_GB2312" w:hAnsi="仿宋_GB2312" w:eastAsia="仿宋_GB2312" w:cs="仿宋_GB2312"/>
          <w:sz w:val="28"/>
          <w:szCs w:val="28"/>
        </w:rPr>
        <w:t>3．结算方式为每月15日前结算上月维修费用，包括维修工时费和材料费。</w:t>
      </w:r>
    </w:p>
    <w:p w14:paraId="5220C6F3">
      <w:pPr>
        <w:ind w:left="425"/>
        <w:rPr>
          <w:rFonts w:ascii="仿宋_GB2312" w:hAnsi="仿宋_GB2312" w:eastAsia="仿宋_GB2312" w:cs="仿宋_GB2312"/>
          <w:sz w:val="28"/>
          <w:szCs w:val="28"/>
        </w:rPr>
      </w:pPr>
      <w:r>
        <w:rPr>
          <w:rFonts w:ascii="仿宋_GB2312" w:hAnsi="仿宋_GB2312" w:eastAsia="仿宋_GB2312" w:cs="仿宋_GB2312"/>
          <w:sz w:val="28"/>
          <w:szCs w:val="28"/>
        </w:rPr>
        <w:t>4. 乙方于每月15日前与甲方核对维修清单，经甲方核对无误、乙方提交正规等额发票后，甲方按照财务流程以转帐形式将上月修车款转到乙方账户上。</w:t>
      </w:r>
    </w:p>
    <w:p w14:paraId="5105F3ED">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服务期内，中标人若中途无故自行停止服务，造成医院法律风险、经济损失的，由中标人予以赔偿</w:t>
      </w:r>
    </w:p>
    <w:p w14:paraId="2097E333">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4</w:t>
      </w:r>
      <w:r>
        <w:rPr>
          <w:rFonts w:ascii="仿宋_GB2312" w:hAnsi="仿宋_GB2312" w:eastAsia="仿宋_GB2312" w:cs="仿宋_GB2312"/>
          <w:sz w:val="28"/>
          <w:szCs w:val="28"/>
        </w:rPr>
        <w:t>小时在线服务及服务专员</w:t>
      </w:r>
      <w:r>
        <w:rPr>
          <w:rFonts w:hint="eastAsia" w:ascii="仿宋_GB2312" w:hAnsi="仿宋_GB2312" w:eastAsia="仿宋_GB2312" w:cs="仿宋_GB2312"/>
          <w:sz w:val="28"/>
          <w:szCs w:val="28"/>
        </w:rPr>
        <w:t>。</w:t>
      </w:r>
    </w:p>
    <w:p w14:paraId="3041CE76">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sz w:val="28"/>
          <w:szCs w:val="28"/>
        </w:rPr>
        <w:t>合同期限：</w:t>
      </w:r>
      <w:r>
        <w:rPr>
          <w:rFonts w:hint="eastAsia" w:ascii="仿宋_GB2312" w:hAnsi="仿宋_GB2312" w:eastAsia="仿宋_GB2312" w:cs="仿宋_GB2312"/>
          <w:color w:val="000000"/>
          <w:kern w:val="0"/>
          <w:sz w:val="28"/>
          <w:szCs w:val="28"/>
        </w:rPr>
        <w:t>自合同签订之日起或自合同约定之日起1年。本项目为长期服务项目，合同期满可以续签， 但合同履行期限最长不得超过三十六个月</w:t>
      </w:r>
      <w:r>
        <w:rPr>
          <w:rFonts w:hint="eastAsia" w:ascii="仿宋_GB2312" w:hAnsi="仿宋_GB2312" w:eastAsia="仿宋_GB2312" w:cs="仿宋_GB2312"/>
          <w:sz w:val="28"/>
          <w:szCs w:val="28"/>
        </w:rPr>
        <w:t>。</w:t>
      </w:r>
    </w:p>
    <w:p w14:paraId="0E947720">
      <w:pPr>
        <w:numPr>
          <w:ilvl w:val="0"/>
          <w:numId w:val="0"/>
        </w:numPr>
        <w:ind w:leftChars="0"/>
        <w:rPr>
          <w:rFonts w:ascii="仿宋_GB2312" w:hAnsi="仿宋_GB2312" w:eastAsia="仿宋_GB2312" w:cs="仿宋_GB2312"/>
          <w:sz w:val="28"/>
          <w:szCs w:val="28"/>
        </w:rPr>
      </w:pPr>
    </w:p>
    <w:p w14:paraId="58BCD323">
      <w:pPr>
        <w:pStyle w:val="2"/>
        <w:spacing w:before="0" w:after="0" w:line="240" w:lineRule="auto"/>
        <w:rPr>
          <w:rFonts w:ascii="仿宋" w:hAnsi="仿宋" w:eastAsia="仿宋"/>
          <w:sz w:val="28"/>
          <w:szCs w:val="28"/>
        </w:rPr>
      </w:pPr>
      <w:r>
        <w:rPr>
          <w:rFonts w:hint="eastAsia" w:ascii="仿宋_GB2312" w:hAnsi="仿宋_GB2312" w:eastAsia="仿宋_GB2312" w:cs="仿宋_GB2312"/>
          <w:sz w:val="28"/>
          <w:szCs w:val="28"/>
        </w:rPr>
        <w:t>（七）</w:t>
      </w:r>
      <w:r>
        <w:rPr>
          <w:rFonts w:hint="eastAsia" w:ascii="仿宋" w:hAnsi="仿宋" w:eastAsia="仿宋"/>
          <w:sz w:val="28"/>
          <w:szCs w:val="28"/>
        </w:rPr>
        <w:t>评审规则：</w:t>
      </w:r>
    </w:p>
    <w:p w14:paraId="001CC54E">
      <w:pPr>
        <w:adjustRightInd w:val="0"/>
        <w:snapToGrid w:val="0"/>
        <w:jc w:val="left"/>
        <w:rPr>
          <w:rFonts w:hint="eastAsia" w:ascii="仿宋" w:hAnsi="仿宋" w:eastAsia="仿宋"/>
          <w:sz w:val="28"/>
          <w:szCs w:val="28"/>
        </w:rPr>
      </w:pPr>
      <w:r>
        <w:rPr>
          <w:rFonts w:hint="eastAsia" w:ascii="仿宋" w:hAnsi="仿宋" w:eastAsia="仿宋"/>
          <w:sz w:val="28"/>
          <w:szCs w:val="28"/>
        </w:rPr>
        <w:t>1.评标方法：综合评标法</w:t>
      </w:r>
    </w:p>
    <w:p w14:paraId="101EA696">
      <w:pPr>
        <w:adjustRightInd w:val="0"/>
        <w:snapToGrid w:val="0"/>
        <w:jc w:val="left"/>
        <w:rPr>
          <w:rFonts w:hint="eastAsia" w:ascii="仿宋" w:hAnsi="仿宋" w:eastAsia="仿宋"/>
          <w:sz w:val="28"/>
          <w:szCs w:val="28"/>
        </w:rPr>
      </w:pPr>
    </w:p>
    <w:p w14:paraId="1376F09F">
      <w:pPr>
        <w:adjustRightInd w:val="0"/>
        <w:snapToGrid w:val="0"/>
        <w:jc w:val="left"/>
        <w:rPr>
          <w:rFonts w:hint="eastAsia" w:ascii="仿宋" w:hAnsi="仿宋" w:eastAsia="仿宋"/>
          <w:sz w:val="28"/>
          <w:szCs w:val="28"/>
        </w:rPr>
      </w:pPr>
    </w:p>
    <w:p w14:paraId="3ECC2B88">
      <w:pPr>
        <w:adjustRightInd w:val="0"/>
        <w:snapToGrid w:val="0"/>
        <w:jc w:val="left"/>
        <w:rPr>
          <w:rFonts w:hint="eastAsia" w:ascii="仿宋" w:hAnsi="仿宋" w:eastAsia="仿宋"/>
          <w:sz w:val="28"/>
          <w:szCs w:val="28"/>
        </w:rPr>
      </w:pPr>
    </w:p>
    <w:p w14:paraId="5670A511">
      <w:pPr>
        <w:adjustRightInd w:val="0"/>
        <w:snapToGrid w:val="0"/>
        <w:jc w:val="left"/>
        <w:rPr>
          <w:rFonts w:hint="eastAsia" w:ascii="仿宋" w:hAnsi="仿宋" w:eastAsia="仿宋"/>
          <w:sz w:val="28"/>
          <w:szCs w:val="28"/>
        </w:rPr>
      </w:pPr>
    </w:p>
    <w:p w14:paraId="2FAAEECC">
      <w:pPr>
        <w:adjustRightInd w:val="0"/>
        <w:snapToGrid w:val="0"/>
        <w:jc w:val="left"/>
        <w:rPr>
          <w:rFonts w:hint="eastAsia" w:ascii="仿宋" w:hAnsi="仿宋" w:eastAsia="仿宋"/>
          <w:sz w:val="28"/>
          <w:szCs w:val="28"/>
        </w:rPr>
      </w:pPr>
    </w:p>
    <w:p w14:paraId="0086ACC4">
      <w:pPr>
        <w:sectPr>
          <w:headerReference r:id="rId3" w:type="default"/>
          <w:pgSz w:w="11900" w:h="16839"/>
          <w:pgMar w:top="400" w:right="1498" w:bottom="0" w:left="690" w:header="0" w:footer="0" w:gutter="0"/>
          <w:cols w:space="720" w:num="1"/>
        </w:sectPr>
      </w:pPr>
      <w:bookmarkStart w:id="1" w:name="_GoBack"/>
      <w:bookmarkEnd w:id="1"/>
    </w:p>
    <w:p w14:paraId="0A641E76">
      <w:pPr>
        <w:adjustRightInd w:val="0"/>
        <w:snapToGrid w:val="0"/>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7695F6F1">
        <w:pPr>
          <w:pStyle w:val="6"/>
          <w:jc w:val="center"/>
        </w:pPr>
        <w:r>
          <w:fldChar w:fldCharType="begin"/>
        </w:r>
        <w:r>
          <w:instrText xml:space="preserve">PAGE   \* MERGEFORMAT</w:instrText>
        </w:r>
        <w:r>
          <w:fldChar w:fldCharType="separate"/>
        </w:r>
        <w:r>
          <w:rPr>
            <w:lang w:val="zh-CN"/>
          </w:rPr>
          <w:t>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636D">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46C45"/>
    <w:multiLevelType w:val="singleLevel"/>
    <w:tmpl w:val="85A46C45"/>
    <w:lvl w:ilvl="0" w:tentative="0">
      <w:start w:val="1"/>
      <w:numFmt w:val="decimalEnclosedCircleChinese"/>
      <w:suff w:val="nothing"/>
      <w:lvlText w:val="%1　"/>
      <w:lvlJc w:val="left"/>
      <w:pPr>
        <w:ind w:left="-220" w:firstLine="400"/>
      </w:pPr>
      <w:rPr>
        <w:rFonts w:hint="eastAsia"/>
      </w:rPr>
    </w:lvl>
  </w:abstractNum>
  <w:abstractNum w:abstractNumId="1">
    <w:nsid w:val="96F36F45"/>
    <w:multiLevelType w:val="singleLevel"/>
    <w:tmpl w:val="96F36F45"/>
    <w:lvl w:ilvl="0" w:tentative="0">
      <w:start w:val="1"/>
      <w:numFmt w:val="decimal"/>
      <w:lvlText w:val="%1."/>
      <w:lvlJc w:val="left"/>
      <w:pPr>
        <w:ind w:left="425" w:hanging="425"/>
      </w:pPr>
      <w:rPr>
        <w:rFonts w:hint="default"/>
      </w:rPr>
    </w:lvl>
  </w:abstractNum>
  <w:abstractNum w:abstractNumId="2">
    <w:nsid w:val="EC737CDF"/>
    <w:multiLevelType w:val="singleLevel"/>
    <w:tmpl w:val="EC737CDF"/>
    <w:lvl w:ilvl="0" w:tentative="0">
      <w:start w:val="1"/>
      <w:numFmt w:val="decimal"/>
      <w:lvlText w:val="(%1)"/>
      <w:lvlJc w:val="left"/>
      <w:pPr>
        <w:ind w:left="425" w:hanging="425"/>
      </w:pPr>
      <w:rPr>
        <w:rFonts w:hint="default"/>
      </w:rPr>
    </w:lvl>
  </w:abstractNum>
  <w:abstractNum w:abstractNumId="3">
    <w:nsid w:val="047ED983"/>
    <w:multiLevelType w:val="singleLevel"/>
    <w:tmpl w:val="047ED983"/>
    <w:lvl w:ilvl="0" w:tentative="0">
      <w:start w:val="1"/>
      <w:numFmt w:val="decimal"/>
      <w:lvlText w:val="%1."/>
      <w:lvlJc w:val="left"/>
      <w:pPr>
        <w:ind w:left="425" w:hanging="425"/>
      </w:pPr>
      <w:rPr>
        <w:rFonts w:hint="default"/>
      </w:rPr>
    </w:lvl>
  </w:abstractNum>
  <w:abstractNum w:abstractNumId="4">
    <w:nsid w:val="56E37921"/>
    <w:multiLevelType w:val="multilevel"/>
    <w:tmpl w:val="56E37921"/>
    <w:lvl w:ilvl="0" w:tentative="0">
      <w:start w:val="1"/>
      <w:numFmt w:val="chineseCountingThousand"/>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
    <w:nsid w:val="6C182C48"/>
    <w:multiLevelType w:val="multilevel"/>
    <w:tmpl w:val="6C182C4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46A6B31"/>
    <w:multiLevelType w:val="singleLevel"/>
    <w:tmpl w:val="746A6B31"/>
    <w:lvl w:ilvl="0" w:tentative="0">
      <w:start w:val="1"/>
      <w:numFmt w:val="decimal"/>
      <w:lvlText w:val="(%1)"/>
      <w:lvlJc w:val="left"/>
      <w:pPr>
        <w:ind w:left="420" w:hanging="420"/>
      </w:pPr>
      <w:rPr>
        <w:rFont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kZGI0ZDc1NTkyMzhmNDJjZDAzOGU1MWE3MWEwMjkifQ=="/>
  </w:docVars>
  <w:rsids>
    <w:rsidRoot w:val="00681410"/>
    <w:rsid w:val="00017688"/>
    <w:rsid w:val="0002072A"/>
    <w:rsid w:val="00056282"/>
    <w:rsid w:val="00061E07"/>
    <w:rsid w:val="00063146"/>
    <w:rsid w:val="00072FD6"/>
    <w:rsid w:val="0007726B"/>
    <w:rsid w:val="000972C6"/>
    <w:rsid w:val="00106363"/>
    <w:rsid w:val="00160CAF"/>
    <w:rsid w:val="00162818"/>
    <w:rsid w:val="00165C2D"/>
    <w:rsid w:val="00216720"/>
    <w:rsid w:val="0022677D"/>
    <w:rsid w:val="002277A4"/>
    <w:rsid w:val="0038580F"/>
    <w:rsid w:val="003A1686"/>
    <w:rsid w:val="003D0E70"/>
    <w:rsid w:val="003E391C"/>
    <w:rsid w:val="003F2B8D"/>
    <w:rsid w:val="004259B6"/>
    <w:rsid w:val="0044267A"/>
    <w:rsid w:val="004551FC"/>
    <w:rsid w:val="004F7BD9"/>
    <w:rsid w:val="00541748"/>
    <w:rsid w:val="005561AC"/>
    <w:rsid w:val="00573D88"/>
    <w:rsid w:val="0058052D"/>
    <w:rsid w:val="00611A06"/>
    <w:rsid w:val="00635B7C"/>
    <w:rsid w:val="00681410"/>
    <w:rsid w:val="00695F34"/>
    <w:rsid w:val="00750D0F"/>
    <w:rsid w:val="0078244A"/>
    <w:rsid w:val="007842EE"/>
    <w:rsid w:val="007D618A"/>
    <w:rsid w:val="00842420"/>
    <w:rsid w:val="00845260"/>
    <w:rsid w:val="00890CC0"/>
    <w:rsid w:val="008914B7"/>
    <w:rsid w:val="008C7CFE"/>
    <w:rsid w:val="008F7F04"/>
    <w:rsid w:val="00905253"/>
    <w:rsid w:val="009058E5"/>
    <w:rsid w:val="00920AEA"/>
    <w:rsid w:val="009C1E4F"/>
    <w:rsid w:val="009D3CF6"/>
    <w:rsid w:val="009E7C4F"/>
    <w:rsid w:val="00A278B3"/>
    <w:rsid w:val="00A55982"/>
    <w:rsid w:val="00A64F9D"/>
    <w:rsid w:val="00AE598B"/>
    <w:rsid w:val="00B74167"/>
    <w:rsid w:val="00B97AED"/>
    <w:rsid w:val="00C206F3"/>
    <w:rsid w:val="00C20A76"/>
    <w:rsid w:val="00C60FC3"/>
    <w:rsid w:val="00C8391A"/>
    <w:rsid w:val="00C9106E"/>
    <w:rsid w:val="00CB297B"/>
    <w:rsid w:val="00CD6413"/>
    <w:rsid w:val="00D73237"/>
    <w:rsid w:val="00DC116D"/>
    <w:rsid w:val="00DE38F0"/>
    <w:rsid w:val="00E30793"/>
    <w:rsid w:val="00E5150C"/>
    <w:rsid w:val="00ED2D2A"/>
    <w:rsid w:val="00F43941"/>
    <w:rsid w:val="00F43DD0"/>
    <w:rsid w:val="00F47A2A"/>
    <w:rsid w:val="00FB1A4D"/>
    <w:rsid w:val="0C6A7D1D"/>
    <w:rsid w:val="0D532C76"/>
    <w:rsid w:val="16C02671"/>
    <w:rsid w:val="194F1AD2"/>
    <w:rsid w:val="1B881736"/>
    <w:rsid w:val="1C4A5F2B"/>
    <w:rsid w:val="1DAC618C"/>
    <w:rsid w:val="218838CB"/>
    <w:rsid w:val="268A3AF4"/>
    <w:rsid w:val="2B033E75"/>
    <w:rsid w:val="2CBA4A07"/>
    <w:rsid w:val="312A0667"/>
    <w:rsid w:val="32C306E7"/>
    <w:rsid w:val="344A66D5"/>
    <w:rsid w:val="345D1B1D"/>
    <w:rsid w:val="371E5931"/>
    <w:rsid w:val="386B2CF7"/>
    <w:rsid w:val="3A5A1BD4"/>
    <w:rsid w:val="3BE455FD"/>
    <w:rsid w:val="3C112C53"/>
    <w:rsid w:val="3C1864E5"/>
    <w:rsid w:val="3C436C03"/>
    <w:rsid w:val="3C7F17EE"/>
    <w:rsid w:val="3F786788"/>
    <w:rsid w:val="3FDE5F39"/>
    <w:rsid w:val="418F2299"/>
    <w:rsid w:val="47946129"/>
    <w:rsid w:val="48DA3A0A"/>
    <w:rsid w:val="4A6E036A"/>
    <w:rsid w:val="4C4243A5"/>
    <w:rsid w:val="4D2B79A7"/>
    <w:rsid w:val="4F624D5E"/>
    <w:rsid w:val="539D45B7"/>
    <w:rsid w:val="59266DFD"/>
    <w:rsid w:val="5D6D6DA8"/>
    <w:rsid w:val="5DF461DF"/>
    <w:rsid w:val="67A1780A"/>
    <w:rsid w:val="6AC82F3D"/>
    <w:rsid w:val="6C70102E"/>
    <w:rsid w:val="6D282CEC"/>
    <w:rsid w:val="6E0472B5"/>
    <w:rsid w:val="74974D88"/>
    <w:rsid w:val="74B15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5"/>
    <w:basedOn w:val="1"/>
    <w:next w:val="1"/>
    <w:unhideWhenUsed/>
    <w:qFormat/>
    <w:uiPriority w:val="0"/>
    <w:pPr>
      <w:keepNext/>
      <w:keepLines/>
      <w:spacing w:line="372" w:lineRule="auto"/>
      <w:outlineLvl w:val="4"/>
    </w:pPr>
    <w:rPr>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Cs w:val="21"/>
      <w:lang w:eastAsia="en-US"/>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34"/>
    <w:pPr>
      <w:ind w:left="704" w:hanging="420"/>
    </w:pPr>
    <w:rPr>
      <w:rFonts w:ascii="Times New Roman" w:hAnsi="Times New Roman" w:eastAsia="黑体" w:cs="Times New Roman"/>
      <w:sz w:val="32"/>
      <w:szCs w:val="24"/>
    </w:rPr>
  </w:style>
  <w:style w:type="character" w:customStyle="1" w:styleId="14">
    <w:name w:val="标题 1 Char"/>
    <w:basedOn w:val="10"/>
    <w:link w:val="2"/>
    <w:qFormat/>
    <w:uiPriority w:val="9"/>
    <w:rPr>
      <w:b/>
      <w:bCs/>
      <w:kern w:val="44"/>
      <w:sz w:val="44"/>
      <w:szCs w:val="44"/>
    </w:rPr>
  </w:style>
  <w:style w:type="character" w:customStyle="1" w:styleId="15">
    <w:name w:val="批注框文本 Char"/>
    <w:basedOn w:val="10"/>
    <w:link w:val="5"/>
    <w:semiHidden/>
    <w:qFormat/>
    <w:uiPriority w:val="99"/>
    <w:rPr>
      <w:rFonts w:asciiTheme="minorHAnsi" w:hAnsiTheme="minorHAnsi" w:eastAsiaTheme="minorEastAsia" w:cstheme="minorBidi"/>
      <w:kern w:val="2"/>
      <w:sz w:val="18"/>
      <w:szCs w:val="18"/>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3061</Words>
  <Characters>3464</Characters>
  <Lines>43</Lines>
  <Paragraphs>12</Paragraphs>
  <TotalTime>2</TotalTime>
  <ScaleCrop>false</ScaleCrop>
  <LinksUpToDate>false</LinksUpToDate>
  <CharactersWithSpaces>3511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2025-09-04T09:16:57Z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3BF8C8F06CFE4B3AB9195DC92B8A3570_12</vt:lpwstr>
  </property>
  <property fmtid="{D5CDD505-2E9C-101B-9397-08002B2CF9AE}" pid="4" name="KSOTemplateDocerSaveRecord">
    <vt:lpwstr>eyJoZGlkIjoiOTgxNzhhZWVjZDVjYzFiNzUyN2FlYmU1YTIwNTA2N2MiLCJ1c2VySWQiOiIxMTI2ODg3MDA2In0=</vt:lpwstr>
  </property>
</Properties>
</file>